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93022" w14:textId="5D6C58D6" w:rsidR="00633233" w:rsidRPr="00EA179B" w:rsidRDefault="0014195E" w:rsidP="0014195E">
      <w:pPr>
        <w:pStyle w:val="Docheader"/>
        <w:jc w:val="right"/>
      </w:pPr>
      <w:r>
        <w:tab/>
        <w:t>Bonn 18/12/1</w:t>
      </w:r>
      <w:r w:rsidR="00633233" w:rsidRPr="00EA179B">
        <w:tab/>
      </w:r>
    </w:p>
    <w:p w14:paraId="2648518F" w14:textId="77777777" w:rsidR="00633233" w:rsidRPr="00EA179B" w:rsidRDefault="00633233" w:rsidP="00866FFA">
      <w:pPr>
        <w:pStyle w:val="BodyText"/>
      </w:pPr>
      <w:r w:rsidRPr="00EA179B">
        <w:tab/>
      </w:r>
    </w:p>
    <w:p w14:paraId="3F6DA02F" w14:textId="77777777" w:rsidR="001E70BE" w:rsidRPr="0014195E" w:rsidRDefault="001E70BE" w:rsidP="00866FFA">
      <w:pPr>
        <w:pStyle w:val="BodyText"/>
        <w:rPr>
          <w:sz w:val="24"/>
          <w:szCs w:val="24"/>
        </w:rPr>
      </w:pPr>
      <w:r w:rsidRPr="0014195E">
        <w:rPr>
          <w:sz w:val="24"/>
          <w:szCs w:val="24"/>
        </w:rPr>
        <w:t>Agreement for Cooperation in Dealing with Pollution of the North Sea by Oil and Other Harmful Substances, 1983</w:t>
      </w:r>
    </w:p>
    <w:p w14:paraId="6BA6FE9E" w14:textId="77777777" w:rsidR="001E70BE" w:rsidRPr="0014195E" w:rsidRDefault="00230649" w:rsidP="00866FFA">
      <w:pPr>
        <w:rPr>
          <w:sz w:val="24"/>
          <w:szCs w:val="24"/>
        </w:rPr>
      </w:pPr>
      <w:r w:rsidRPr="0014195E">
        <w:rPr>
          <w:sz w:val="24"/>
          <w:szCs w:val="24"/>
        </w:rPr>
        <w:t>Thirt</w:t>
      </w:r>
      <w:r w:rsidR="009241BB" w:rsidRPr="0014195E">
        <w:rPr>
          <w:sz w:val="24"/>
          <w:szCs w:val="24"/>
        </w:rPr>
        <w:t>ieth</w:t>
      </w:r>
      <w:r w:rsidR="001E70BE" w:rsidRPr="0014195E">
        <w:rPr>
          <w:sz w:val="24"/>
          <w:szCs w:val="24"/>
        </w:rPr>
        <w:t xml:space="preserve"> Meeting of the Contracting Parties</w:t>
      </w:r>
    </w:p>
    <w:p w14:paraId="0082E18C" w14:textId="77777777" w:rsidR="001E70BE" w:rsidRPr="00AF51CA" w:rsidRDefault="006E05CB" w:rsidP="001E70BE">
      <w:pPr>
        <w:pStyle w:val="Title"/>
        <w:spacing w:before="120" w:after="0"/>
        <w:rPr>
          <w:rFonts w:asciiTheme="majorHAnsi" w:hAnsiTheme="majorHAnsi" w:cstheme="majorHAnsi"/>
          <w:sz w:val="24"/>
          <w:szCs w:val="24"/>
          <w:lang w:val="en-GB"/>
        </w:rPr>
      </w:pPr>
      <w:bookmarkStart w:id="0" w:name="_Toc529533061"/>
      <w:r w:rsidRPr="00AF51CA">
        <w:rPr>
          <w:rFonts w:asciiTheme="majorHAnsi" w:hAnsiTheme="majorHAnsi" w:cstheme="majorHAnsi"/>
          <w:sz w:val="24"/>
          <w:szCs w:val="24"/>
          <w:lang w:val="en-GB"/>
        </w:rPr>
        <w:t>Paris</w:t>
      </w:r>
      <w:r w:rsidR="009D4756" w:rsidRPr="00AF51CA">
        <w:rPr>
          <w:rFonts w:asciiTheme="majorHAnsi" w:hAnsiTheme="majorHAnsi" w:cstheme="majorHAnsi"/>
          <w:sz w:val="24"/>
          <w:szCs w:val="24"/>
          <w:lang w:val="en-GB"/>
        </w:rPr>
        <w:t xml:space="preserve"> (</w:t>
      </w:r>
      <w:r w:rsidRPr="00AF51CA">
        <w:rPr>
          <w:rFonts w:asciiTheme="majorHAnsi" w:hAnsiTheme="majorHAnsi" w:cstheme="majorHAnsi"/>
          <w:sz w:val="24"/>
          <w:szCs w:val="24"/>
          <w:lang w:val="en-GB"/>
        </w:rPr>
        <w:t>France</w:t>
      </w:r>
      <w:r w:rsidR="009D4756" w:rsidRPr="00AF51CA">
        <w:rPr>
          <w:rFonts w:asciiTheme="majorHAnsi" w:hAnsiTheme="majorHAnsi" w:cstheme="majorHAnsi"/>
          <w:sz w:val="24"/>
          <w:szCs w:val="24"/>
          <w:lang w:val="en-GB"/>
        </w:rPr>
        <w:t xml:space="preserve">): </w:t>
      </w:r>
      <w:r w:rsidRPr="00AF51CA">
        <w:rPr>
          <w:rFonts w:asciiTheme="majorHAnsi" w:hAnsiTheme="majorHAnsi" w:cstheme="majorHAnsi"/>
          <w:sz w:val="24"/>
          <w:szCs w:val="24"/>
          <w:lang w:val="en-GB"/>
        </w:rPr>
        <w:t>26-27</w:t>
      </w:r>
      <w:r w:rsidR="001E70BE" w:rsidRPr="00AF51CA">
        <w:rPr>
          <w:rFonts w:asciiTheme="majorHAnsi" w:hAnsiTheme="majorHAnsi" w:cstheme="majorHAnsi"/>
          <w:sz w:val="24"/>
          <w:szCs w:val="24"/>
          <w:lang w:val="en-GB"/>
        </w:rPr>
        <w:t xml:space="preserve"> </w:t>
      </w:r>
      <w:r w:rsidRPr="00AF51CA">
        <w:rPr>
          <w:rFonts w:asciiTheme="majorHAnsi" w:hAnsiTheme="majorHAnsi" w:cstheme="majorHAnsi"/>
          <w:sz w:val="24"/>
          <w:szCs w:val="24"/>
          <w:lang w:val="en-GB"/>
        </w:rPr>
        <w:t>September 2018</w:t>
      </w:r>
      <w:bookmarkEnd w:id="0"/>
    </w:p>
    <w:p w14:paraId="38136BEF" w14:textId="77777777" w:rsidR="00633233" w:rsidRPr="00AB6FB6" w:rsidRDefault="00633233" w:rsidP="00633233">
      <w:pPr>
        <w:pStyle w:val="Title"/>
        <w:tabs>
          <w:tab w:val="right" w:leader="underscore" w:pos="9639"/>
        </w:tabs>
        <w:spacing w:before="0" w:after="0"/>
        <w:rPr>
          <w:rFonts w:asciiTheme="majorHAnsi" w:hAnsiTheme="majorHAnsi" w:cstheme="majorHAnsi"/>
          <w:sz w:val="24"/>
          <w:szCs w:val="24"/>
          <w:lang w:val="en-GB"/>
        </w:rPr>
      </w:pPr>
      <w:r w:rsidRPr="00AB6FB6">
        <w:rPr>
          <w:rFonts w:asciiTheme="majorHAnsi" w:hAnsiTheme="majorHAnsi" w:cstheme="majorHAnsi"/>
          <w:sz w:val="24"/>
          <w:szCs w:val="24"/>
          <w:lang w:val="en-GB"/>
        </w:rPr>
        <w:tab/>
      </w:r>
    </w:p>
    <w:sdt>
      <w:sdtPr>
        <w:rPr>
          <w:rFonts w:cstheme="majorHAnsi"/>
          <w:b w:val="0"/>
        </w:rPr>
        <w:id w:val="1592501639"/>
        <w:docPartObj>
          <w:docPartGallery w:val="Table of Contents"/>
          <w:docPartUnique/>
        </w:docPartObj>
      </w:sdtPr>
      <w:sdtEndPr>
        <w:rPr>
          <w:rFonts w:eastAsia="Times New Roman"/>
          <w:noProof/>
          <w:color w:val="auto"/>
          <w:sz w:val="22"/>
          <w:szCs w:val="22"/>
          <w:lang w:val="en-GB" w:eastAsia="en-US"/>
        </w:rPr>
      </w:sdtEndPr>
      <w:sdtContent>
        <w:p w14:paraId="71412DD8" w14:textId="58BEA872" w:rsidR="00AB6FB6" w:rsidRPr="00AB6FB6" w:rsidRDefault="00AB6FB6" w:rsidP="00AB6FB6">
          <w:pPr>
            <w:pStyle w:val="TOCHeading"/>
            <w:rPr>
              <w:rFonts w:eastAsiaTheme="minorEastAsia" w:cstheme="majorHAnsi"/>
              <w:b w:val="0"/>
              <w:noProof/>
              <w:color w:val="auto"/>
              <w:sz w:val="22"/>
              <w:szCs w:val="22"/>
              <w:lang w:eastAsia="en-GB"/>
            </w:rPr>
          </w:pPr>
          <w:r w:rsidRPr="00AB6FB6">
            <w:rPr>
              <w:rFonts w:cstheme="majorHAnsi"/>
              <w:b w:val="0"/>
              <w:color w:val="auto"/>
              <w:sz w:val="22"/>
              <w:szCs w:val="22"/>
            </w:rPr>
            <w:t>Table of Contents</w:t>
          </w:r>
          <w:r w:rsidR="00F66AD2" w:rsidRPr="00AB6FB6">
            <w:rPr>
              <w:rFonts w:cstheme="majorHAnsi"/>
              <w:b w:val="0"/>
              <w:color w:val="auto"/>
              <w:sz w:val="22"/>
              <w:szCs w:val="22"/>
            </w:rPr>
            <w:fldChar w:fldCharType="begin"/>
          </w:r>
          <w:r w:rsidR="00F66AD2" w:rsidRPr="00AB6FB6">
            <w:rPr>
              <w:rFonts w:cstheme="majorHAnsi"/>
              <w:b w:val="0"/>
              <w:color w:val="auto"/>
              <w:sz w:val="22"/>
              <w:szCs w:val="22"/>
            </w:rPr>
            <w:instrText xml:space="preserve"> TOC \o "1-3" \h \z \u </w:instrText>
          </w:r>
          <w:r w:rsidR="00F66AD2" w:rsidRPr="00AB6FB6">
            <w:rPr>
              <w:rFonts w:cstheme="majorHAnsi"/>
              <w:b w:val="0"/>
              <w:color w:val="auto"/>
              <w:sz w:val="22"/>
              <w:szCs w:val="22"/>
            </w:rPr>
            <w:fldChar w:fldCharType="separate"/>
          </w:r>
        </w:p>
        <w:p w14:paraId="6C889C18" w14:textId="77777777" w:rsidR="00AB6FB6" w:rsidRPr="00AB6FB6" w:rsidRDefault="00AB6FB6" w:rsidP="00AB6FB6">
          <w:pPr>
            <w:pStyle w:val="TOC2"/>
            <w:rPr>
              <w:rFonts w:asciiTheme="majorHAnsi" w:eastAsiaTheme="minorEastAsia" w:hAnsiTheme="majorHAnsi" w:cstheme="majorHAnsi"/>
              <w:sz w:val="22"/>
              <w:szCs w:val="22"/>
            </w:rPr>
          </w:pPr>
          <w:hyperlink w:anchor="_Toc529533063" w:history="1">
            <w:r w:rsidRPr="00AB6FB6">
              <w:rPr>
                <w:rStyle w:val="Hyperlink"/>
                <w:rFonts w:asciiTheme="majorHAnsi" w:hAnsiTheme="majorHAnsi" w:cstheme="majorHAnsi"/>
                <w:color w:val="auto"/>
                <w:sz w:val="22"/>
                <w:szCs w:val="22"/>
              </w:rPr>
              <w:t>Agenda Item 0 – Opening of the Meeting</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_Toc529533063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2</w:t>
            </w:r>
            <w:r w:rsidRPr="00AB6FB6">
              <w:rPr>
                <w:rFonts w:asciiTheme="majorHAnsi" w:hAnsiTheme="majorHAnsi" w:cstheme="majorHAnsi"/>
                <w:webHidden/>
                <w:sz w:val="22"/>
                <w:szCs w:val="22"/>
              </w:rPr>
              <w:fldChar w:fldCharType="end"/>
            </w:r>
          </w:hyperlink>
        </w:p>
        <w:p w14:paraId="4FD942D3" w14:textId="77777777" w:rsidR="00AB6FB6" w:rsidRPr="00AB6FB6" w:rsidRDefault="00AB6FB6" w:rsidP="00AB6FB6">
          <w:pPr>
            <w:pStyle w:val="TOC2"/>
            <w:rPr>
              <w:rFonts w:asciiTheme="majorHAnsi" w:eastAsiaTheme="minorEastAsia" w:hAnsiTheme="majorHAnsi" w:cstheme="majorHAnsi"/>
              <w:sz w:val="22"/>
              <w:szCs w:val="22"/>
            </w:rPr>
          </w:pPr>
          <w:hyperlink w:anchor="_Toc529533064" w:history="1">
            <w:r w:rsidRPr="00AB6FB6">
              <w:rPr>
                <w:rStyle w:val="Hyperlink"/>
                <w:rFonts w:asciiTheme="majorHAnsi" w:hAnsiTheme="majorHAnsi" w:cstheme="majorHAnsi"/>
                <w:color w:val="auto"/>
                <w:sz w:val="22"/>
                <w:szCs w:val="22"/>
              </w:rPr>
              <w:t>Agenda Item 1 – Adoption of the Agenda</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_Toc529533064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2</w:t>
            </w:r>
            <w:r w:rsidRPr="00AB6FB6">
              <w:rPr>
                <w:rFonts w:asciiTheme="majorHAnsi" w:hAnsiTheme="majorHAnsi" w:cstheme="majorHAnsi"/>
                <w:webHidden/>
                <w:sz w:val="22"/>
                <w:szCs w:val="22"/>
              </w:rPr>
              <w:fldChar w:fldCharType="end"/>
            </w:r>
          </w:hyperlink>
        </w:p>
        <w:p w14:paraId="5CE5671A" w14:textId="77777777" w:rsidR="00AB6FB6" w:rsidRPr="00AB6FB6" w:rsidRDefault="00AB6FB6" w:rsidP="00AB6FB6">
          <w:pPr>
            <w:pStyle w:val="TOC2"/>
            <w:rPr>
              <w:rFonts w:asciiTheme="majorHAnsi" w:eastAsiaTheme="minorEastAsia" w:hAnsiTheme="majorHAnsi" w:cstheme="majorHAnsi"/>
              <w:sz w:val="22"/>
              <w:szCs w:val="22"/>
            </w:rPr>
          </w:pPr>
          <w:hyperlink w:anchor="_Toc529533065" w:history="1">
            <w:r w:rsidRPr="00AB6FB6">
              <w:rPr>
                <w:rStyle w:val="Hyperlink"/>
                <w:rFonts w:asciiTheme="majorHAnsi" w:hAnsiTheme="majorHAnsi" w:cstheme="majorHAnsi"/>
                <w:color w:val="auto"/>
                <w:sz w:val="22"/>
                <w:szCs w:val="22"/>
              </w:rPr>
              <w:t>Agenda Item 2 – Strategic Issues and Ministerial Preparation</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_Toc529533065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2</w:t>
            </w:r>
            <w:r w:rsidRPr="00AB6FB6">
              <w:rPr>
                <w:rFonts w:asciiTheme="majorHAnsi" w:hAnsiTheme="majorHAnsi" w:cstheme="majorHAnsi"/>
                <w:webHidden/>
                <w:sz w:val="22"/>
                <w:szCs w:val="22"/>
              </w:rPr>
              <w:fldChar w:fldCharType="end"/>
            </w:r>
          </w:hyperlink>
        </w:p>
        <w:p w14:paraId="67B1311A" w14:textId="5A5C59A9" w:rsidR="00AB6FB6" w:rsidRPr="00AB6FB6" w:rsidRDefault="00AB6FB6" w:rsidP="00AB6FB6">
          <w:pPr>
            <w:pStyle w:val="TOC2"/>
            <w:rPr>
              <w:rFonts w:asciiTheme="majorHAnsi" w:eastAsiaTheme="minorEastAsia" w:hAnsiTheme="majorHAnsi" w:cstheme="majorHAnsi"/>
              <w:sz w:val="22"/>
              <w:szCs w:val="22"/>
            </w:rPr>
          </w:pPr>
          <w:hyperlink w:anchor="_Toc529533066" w:history="1">
            <w:r w:rsidRPr="00AB6FB6">
              <w:rPr>
                <w:rStyle w:val="Hyperlink"/>
                <w:rFonts w:asciiTheme="majorHAnsi" w:hAnsiTheme="majorHAnsi" w:cstheme="majorHAnsi"/>
                <w:color w:val="auto"/>
                <w:sz w:val="22"/>
                <w:szCs w:val="22"/>
              </w:rPr>
              <w:t xml:space="preserve">Agenda Item 3 </w:t>
            </w:r>
            <w:r w:rsidRPr="00AB6FB6">
              <w:rPr>
                <w:rStyle w:val="Hyperlink"/>
                <w:rFonts w:asciiTheme="majorHAnsi" w:hAnsiTheme="majorHAnsi" w:cstheme="majorHAnsi"/>
                <w:color w:val="auto"/>
                <w:sz w:val="22"/>
                <w:szCs w:val="22"/>
              </w:rPr>
              <w:noBreakHyphen/>
              <w:t xml:space="preserve"> Report of the OTSOPA Working Group</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_Toc529533066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6</w:t>
            </w:r>
            <w:r w:rsidRPr="00AB6FB6">
              <w:rPr>
                <w:rFonts w:asciiTheme="majorHAnsi" w:hAnsiTheme="majorHAnsi" w:cstheme="majorHAnsi"/>
                <w:webHidden/>
                <w:sz w:val="22"/>
                <w:szCs w:val="22"/>
              </w:rPr>
              <w:fldChar w:fldCharType="end"/>
            </w:r>
          </w:hyperlink>
        </w:p>
        <w:p w14:paraId="13B5986D" w14:textId="77777777" w:rsidR="00AB6FB6" w:rsidRPr="00AB6FB6" w:rsidRDefault="00AB6FB6" w:rsidP="00AB6FB6">
          <w:pPr>
            <w:pStyle w:val="TOC2"/>
            <w:rPr>
              <w:rFonts w:asciiTheme="majorHAnsi" w:eastAsiaTheme="minorEastAsia" w:hAnsiTheme="majorHAnsi" w:cstheme="majorHAnsi"/>
              <w:sz w:val="22"/>
              <w:szCs w:val="22"/>
            </w:rPr>
          </w:pPr>
          <w:hyperlink w:anchor="_Toc529533067" w:history="1">
            <w:r w:rsidRPr="00AB6FB6">
              <w:rPr>
                <w:rStyle w:val="Hyperlink"/>
                <w:rFonts w:asciiTheme="majorHAnsi" w:hAnsiTheme="majorHAnsi" w:cstheme="majorHAnsi"/>
                <w:color w:val="auto"/>
                <w:sz w:val="22"/>
                <w:szCs w:val="22"/>
              </w:rPr>
              <w:t>Agenda Item 4 – Reports on pollution incidents</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_Toc529533067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9</w:t>
            </w:r>
            <w:r w:rsidRPr="00AB6FB6">
              <w:rPr>
                <w:rFonts w:asciiTheme="majorHAnsi" w:hAnsiTheme="majorHAnsi" w:cstheme="majorHAnsi"/>
                <w:webHidden/>
                <w:sz w:val="22"/>
                <w:szCs w:val="22"/>
              </w:rPr>
              <w:fldChar w:fldCharType="end"/>
            </w:r>
          </w:hyperlink>
        </w:p>
        <w:p w14:paraId="38A5493E" w14:textId="77777777" w:rsidR="00AB6FB6" w:rsidRPr="00AB6FB6" w:rsidRDefault="00AB6FB6" w:rsidP="00AB6FB6">
          <w:pPr>
            <w:pStyle w:val="TOC2"/>
            <w:rPr>
              <w:rFonts w:asciiTheme="majorHAnsi" w:eastAsiaTheme="minorEastAsia" w:hAnsiTheme="majorHAnsi" w:cstheme="majorHAnsi"/>
              <w:sz w:val="22"/>
              <w:szCs w:val="22"/>
            </w:rPr>
          </w:pPr>
          <w:hyperlink w:anchor="_Toc529533068" w:history="1">
            <w:r w:rsidRPr="00AB6FB6">
              <w:rPr>
                <w:rStyle w:val="Hyperlink"/>
                <w:rFonts w:asciiTheme="majorHAnsi" w:hAnsiTheme="majorHAnsi" w:cstheme="majorHAnsi"/>
                <w:color w:val="auto"/>
                <w:sz w:val="22"/>
                <w:szCs w:val="22"/>
              </w:rPr>
              <w:t>Agenda Item 5 – European Union</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_Toc529533068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9</w:t>
            </w:r>
            <w:r w:rsidRPr="00AB6FB6">
              <w:rPr>
                <w:rFonts w:asciiTheme="majorHAnsi" w:hAnsiTheme="majorHAnsi" w:cstheme="majorHAnsi"/>
                <w:webHidden/>
                <w:sz w:val="22"/>
                <w:szCs w:val="22"/>
              </w:rPr>
              <w:fldChar w:fldCharType="end"/>
            </w:r>
          </w:hyperlink>
        </w:p>
        <w:p w14:paraId="37F7997A" w14:textId="77777777" w:rsidR="00AB6FB6" w:rsidRPr="00AB6FB6" w:rsidRDefault="00AB6FB6" w:rsidP="00AB6FB6">
          <w:pPr>
            <w:pStyle w:val="TOC2"/>
            <w:rPr>
              <w:rFonts w:asciiTheme="majorHAnsi" w:eastAsiaTheme="minorEastAsia" w:hAnsiTheme="majorHAnsi" w:cstheme="majorHAnsi"/>
              <w:sz w:val="22"/>
              <w:szCs w:val="22"/>
            </w:rPr>
          </w:pPr>
          <w:hyperlink w:anchor="_Toc529533069" w:history="1">
            <w:r w:rsidRPr="00AB6FB6">
              <w:rPr>
                <w:rStyle w:val="Hyperlink"/>
                <w:rFonts w:asciiTheme="majorHAnsi" w:hAnsiTheme="majorHAnsi" w:cstheme="majorHAnsi"/>
                <w:color w:val="auto"/>
                <w:sz w:val="22"/>
                <w:szCs w:val="22"/>
              </w:rPr>
              <w:t>Agenda Item 6 – Work in other international organisations</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_Toc529533069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10</w:t>
            </w:r>
            <w:r w:rsidRPr="00AB6FB6">
              <w:rPr>
                <w:rFonts w:asciiTheme="majorHAnsi" w:hAnsiTheme="majorHAnsi" w:cstheme="majorHAnsi"/>
                <w:webHidden/>
                <w:sz w:val="22"/>
                <w:szCs w:val="22"/>
              </w:rPr>
              <w:fldChar w:fldCharType="end"/>
            </w:r>
          </w:hyperlink>
        </w:p>
        <w:p w14:paraId="30C7C1E0" w14:textId="77777777" w:rsidR="00AB6FB6" w:rsidRPr="00AB6FB6" w:rsidRDefault="00AB6FB6" w:rsidP="00AB6FB6">
          <w:pPr>
            <w:pStyle w:val="TOC2"/>
            <w:rPr>
              <w:rFonts w:asciiTheme="majorHAnsi" w:eastAsiaTheme="minorEastAsia" w:hAnsiTheme="majorHAnsi" w:cstheme="majorHAnsi"/>
              <w:sz w:val="22"/>
              <w:szCs w:val="22"/>
            </w:rPr>
          </w:pPr>
          <w:hyperlink w:anchor="_Toc529533070" w:history="1">
            <w:r w:rsidRPr="00AB6FB6">
              <w:rPr>
                <w:rStyle w:val="Hyperlink"/>
                <w:rFonts w:asciiTheme="majorHAnsi" w:hAnsiTheme="majorHAnsi" w:cstheme="majorHAnsi"/>
                <w:color w:val="auto"/>
                <w:sz w:val="22"/>
                <w:szCs w:val="22"/>
              </w:rPr>
              <w:t>Agenda Item 7 – Communications</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_Toc529533070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10</w:t>
            </w:r>
            <w:r w:rsidRPr="00AB6FB6">
              <w:rPr>
                <w:rFonts w:asciiTheme="majorHAnsi" w:hAnsiTheme="majorHAnsi" w:cstheme="majorHAnsi"/>
                <w:webHidden/>
                <w:sz w:val="22"/>
                <w:szCs w:val="22"/>
              </w:rPr>
              <w:fldChar w:fldCharType="end"/>
            </w:r>
          </w:hyperlink>
        </w:p>
        <w:p w14:paraId="7A657F12" w14:textId="77777777" w:rsidR="00AB6FB6" w:rsidRPr="00AB6FB6" w:rsidRDefault="00AB6FB6" w:rsidP="00AB6FB6">
          <w:pPr>
            <w:pStyle w:val="TOC2"/>
            <w:rPr>
              <w:rFonts w:asciiTheme="majorHAnsi" w:eastAsiaTheme="minorEastAsia" w:hAnsiTheme="majorHAnsi" w:cstheme="majorHAnsi"/>
              <w:sz w:val="22"/>
              <w:szCs w:val="22"/>
            </w:rPr>
          </w:pPr>
          <w:hyperlink w:anchor="_Toc529533071" w:history="1">
            <w:r w:rsidRPr="00AB6FB6">
              <w:rPr>
                <w:rStyle w:val="Hyperlink"/>
                <w:rFonts w:asciiTheme="majorHAnsi" w:hAnsiTheme="majorHAnsi" w:cstheme="majorHAnsi"/>
                <w:color w:val="auto"/>
                <w:sz w:val="22"/>
                <w:szCs w:val="22"/>
              </w:rPr>
              <w:t>Agenda Item 8 – List of Actions and Programme of Work</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_Toc529533071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11</w:t>
            </w:r>
            <w:r w:rsidRPr="00AB6FB6">
              <w:rPr>
                <w:rFonts w:asciiTheme="majorHAnsi" w:hAnsiTheme="majorHAnsi" w:cstheme="majorHAnsi"/>
                <w:webHidden/>
                <w:sz w:val="22"/>
                <w:szCs w:val="22"/>
              </w:rPr>
              <w:fldChar w:fldCharType="end"/>
            </w:r>
          </w:hyperlink>
        </w:p>
        <w:p w14:paraId="22C8C76F" w14:textId="77777777" w:rsidR="00AB6FB6" w:rsidRPr="00AB6FB6" w:rsidRDefault="00AB6FB6" w:rsidP="00AB6FB6">
          <w:pPr>
            <w:pStyle w:val="TOC2"/>
            <w:rPr>
              <w:rFonts w:asciiTheme="majorHAnsi" w:eastAsiaTheme="minorEastAsia" w:hAnsiTheme="majorHAnsi" w:cstheme="majorHAnsi"/>
              <w:sz w:val="22"/>
              <w:szCs w:val="22"/>
            </w:rPr>
          </w:pPr>
          <w:hyperlink w:anchor="_Toc529533072" w:history="1">
            <w:r w:rsidRPr="00AB6FB6">
              <w:rPr>
                <w:rStyle w:val="Hyperlink"/>
                <w:rFonts w:asciiTheme="majorHAnsi" w:hAnsiTheme="majorHAnsi" w:cstheme="majorHAnsi"/>
                <w:color w:val="auto"/>
                <w:sz w:val="22"/>
                <w:szCs w:val="22"/>
              </w:rPr>
              <w:t>Agenda Item 9 – Financial matters</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_Toc529533072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11</w:t>
            </w:r>
            <w:r w:rsidRPr="00AB6FB6">
              <w:rPr>
                <w:rFonts w:asciiTheme="majorHAnsi" w:hAnsiTheme="majorHAnsi" w:cstheme="majorHAnsi"/>
                <w:webHidden/>
                <w:sz w:val="22"/>
                <w:szCs w:val="22"/>
              </w:rPr>
              <w:fldChar w:fldCharType="end"/>
            </w:r>
          </w:hyperlink>
        </w:p>
        <w:p w14:paraId="0B97A466" w14:textId="77777777" w:rsidR="00AB6FB6" w:rsidRPr="00AB6FB6" w:rsidRDefault="00AB6FB6" w:rsidP="00AB6FB6">
          <w:pPr>
            <w:pStyle w:val="TOC2"/>
            <w:rPr>
              <w:rFonts w:asciiTheme="majorHAnsi" w:eastAsiaTheme="minorEastAsia" w:hAnsiTheme="majorHAnsi" w:cstheme="majorHAnsi"/>
              <w:sz w:val="22"/>
              <w:szCs w:val="22"/>
            </w:rPr>
          </w:pPr>
          <w:hyperlink w:anchor="_Toc529533073" w:history="1">
            <w:r w:rsidRPr="00AB6FB6">
              <w:rPr>
                <w:rStyle w:val="Hyperlink"/>
                <w:rFonts w:asciiTheme="majorHAnsi" w:hAnsiTheme="majorHAnsi" w:cstheme="majorHAnsi"/>
                <w:color w:val="auto"/>
                <w:sz w:val="22"/>
                <w:szCs w:val="22"/>
              </w:rPr>
              <w:t>Agenda Item 10 – Future meeting arrangements</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_Toc529533073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12</w:t>
            </w:r>
            <w:r w:rsidRPr="00AB6FB6">
              <w:rPr>
                <w:rFonts w:asciiTheme="majorHAnsi" w:hAnsiTheme="majorHAnsi" w:cstheme="majorHAnsi"/>
                <w:webHidden/>
                <w:sz w:val="22"/>
                <w:szCs w:val="22"/>
              </w:rPr>
              <w:fldChar w:fldCharType="end"/>
            </w:r>
          </w:hyperlink>
        </w:p>
        <w:p w14:paraId="538AA3F0" w14:textId="77777777" w:rsidR="00AB6FB6" w:rsidRPr="00AB6FB6" w:rsidRDefault="00AB6FB6" w:rsidP="00AB6FB6">
          <w:pPr>
            <w:pStyle w:val="TOC2"/>
            <w:rPr>
              <w:rFonts w:asciiTheme="majorHAnsi" w:eastAsiaTheme="minorEastAsia" w:hAnsiTheme="majorHAnsi" w:cstheme="majorHAnsi"/>
              <w:sz w:val="22"/>
              <w:szCs w:val="22"/>
            </w:rPr>
          </w:pPr>
          <w:hyperlink w:anchor="_Toc529533074" w:history="1">
            <w:r w:rsidRPr="00AB6FB6">
              <w:rPr>
                <w:rStyle w:val="Hyperlink"/>
                <w:rFonts w:asciiTheme="majorHAnsi" w:hAnsiTheme="majorHAnsi" w:cstheme="majorHAnsi"/>
                <w:color w:val="auto"/>
                <w:sz w:val="22"/>
                <w:szCs w:val="22"/>
              </w:rPr>
              <w:t>Agenda Item 11 – Any other business</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_Toc529533074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12</w:t>
            </w:r>
            <w:r w:rsidRPr="00AB6FB6">
              <w:rPr>
                <w:rFonts w:asciiTheme="majorHAnsi" w:hAnsiTheme="majorHAnsi" w:cstheme="majorHAnsi"/>
                <w:webHidden/>
                <w:sz w:val="22"/>
                <w:szCs w:val="22"/>
              </w:rPr>
              <w:fldChar w:fldCharType="end"/>
            </w:r>
          </w:hyperlink>
        </w:p>
        <w:p w14:paraId="08C00196" w14:textId="77777777" w:rsidR="00AB6FB6" w:rsidRPr="00AB6FB6" w:rsidRDefault="00AB6FB6" w:rsidP="00AB6FB6">
          <w:pPr>
            <w:pStyle w:val="TOC2"/>
            <w:rPr>
              <w:rFonts w:asciiTheme="majorHAnsi" w:eastAsiaTheme="minorEastAsia" w:hAnsiTheme="majorHAnsi" w:cstheme="majorHAnsi"/>
              <w:sz w:val="22"/>
              <w:szCs w:val="22"/>
            </w:rPr>
          </w:pPr>
          <w:hyperlink w:anchor="_Toc529533075" w:history="1">
            <w:r w:rsidRPr="00AB6FB6">
              <w:rPr>
                <w:rStyle w:val="Hyperlink"/>
                <w:rFonts w:asciiTheme="majorHAnsi" w:hAnsiTheme="majorHAnsi" w:cstheme="majorHAnsi"/>
                <w:color w:val="auto"/>
                <w:sz w:val="22"/>
                <w:szCs w:val="22"/>
              </w:rPr>
              <w:t>Agenda Item 12 – Adoption of the Summary Record</w:t>
            </w:r>
            <w:r w:rsidRPr="00AB6FB6">
              <w:rPr>
                <w:rFonts w:asciiTheme="majorHAnsi" w:hAnsiTheme="majorHAnsi" w:cstheme="majorHAnsi"/>
                <w:webHidden/>
                <w:sz w:val="22"/>
                <w:szCs w:val="22"/>
              </w:rPr>
              <w:tab/>
            </w:r>
            <w:r w:rsidRPr="00AB6FB6">
              <w:rPr>
                <w:rFonts w:asciiTheme="majorHAnsi" w:hAnsiTheme="majorHAnsi" w:cstheme="majorHAnsi"/>
                <w:webHidden/>
                <w:sz w:val="22"/>
                <w:szCs w:val="22"/>
              </w:rPr>
              <w:fldChar w:fldCharType="begin"/>
            </w:r>
            <w:r w:rsidRPr="00AB6FB6">
              <w:rPr>
                <w:rFonts w:asciiTheme="majorHAnsi" w:hAnsiTheme="majorHAnsi" w:cstheme="majorHAnsi"/>
                <w:webHidden/>
                <w:sz w:val="22"/>
                <w:szCs w:val="22"/>
              </w:rPr>
              <w:instrText xml:space="preserve"> PAGEREF _Toc529533075 \h </w:instrText>
            </w:r>
            <w:r w:rsidRPr="00AB6FB6">
              <w:rPr>
                <w:rFonts w:asciiTheme="majorHAnsi" w:hAnsiTheme="majorHAnsi" w:cstheme="majorHAnsi"/>
                <w:webHidden/>
                <w:sz w:val="22"/>
                <w:szCs w:val="22"/>
              </w:rPr>
            </w:r>
            <w:r w:rsidRPr="00AB6FB6">
              <w:rPr>
                <w:rFonts w:asciiTheme="majorHAnsi" w:hAnsiTheme="majorHAnsi" w:cstheme="majorHAnsi"/>
                <w:webHidden/>
                <w:sz w:val="22"/>
                <w:szCs w:val="22"/>
              </w:rPr>
              <w:fldChar w:fldCharType="separate"/>
            </w:r>
            <w:r w:rsidRPr="00AB6FB6">
              <w:rPr>
                <w:rFonts w:asciiTheme="majorHAnsi" w:hAnsiTheme="majorHAnsi" w:cstheme="majorHAnsi"/>
                <w:webHidden/>
                <w:sz w:val="22"/>
                <w:szCs w:val="22"/>
              </w:rPr>
              <w:t>12</w:t>
            </w:r>
            <w:r w:rsidRPr="00AB6FB6">
              <w:rPr>
                <w:rFonts w:asciiTheme="majorHAnsi" w:hAnsiTheme="majorHAnsi" w:cstheme="majorHAnsi"/>
                <w:webHidden/>
                <w:sz w:val="22"/>
                <w:szCs w:val="22"/>
              </w:rPr>
              <w:fldChar w:fldCharType="end"/>
            </w:r>
          </w:hyperlink>
        </w:p>
        <w:p w14:paraId="055CF227" w14:textId="58A8F119" w:rsidR="00F66AD2" w:rsidRPr="00AB6FB6" w:rsidRDefault="00F66AD2">
          <w:r w:rsidRPr="00AB6FB6">
            <w:rPr>
              <w:bCs/>
              <w:noProof/>
            </w:rPr>
            <w:fldChar w:fldCharType="end"/>
          </w:r>
        </w:p>
      </w:sdtContent>
    </w:sdt>
    <w:p w14:paraId="23E89BA3" w14:textId="2DA77DA1" w:rsidR="00AB6FB6" w:rsidRDefault="00AB6FB6">
      <w:pPr>
        <w:tabs>
          <w:tab w:val="clear" w:pos="567"/>
        </w:tabs>
        <w:spacing w:after="0" w:line="240" w:lineRule="auto"/>
        <w:jc w:val="left"/>
      </w:pPr>
      <w:r w:rsidRPr="00AB6FB6">
        <w:t>List of Annexes</w:t>
      </w:r>
    </w:p>
    <w:p w14:paraId="3C3B57EB" w14:textId="0946E6CD" w:rsidR="00AB6FB6" w:rsidRDefault="00E22BB6">
      <w:pPr>
        <w:tabs>
          <w:tab w:val="clear" w:pos="567"/>
        </w:tabs>
        <w:spacing w:after="0" w:line="240" w:lineRule="auto"/>
        <w:jc w:val="left"/>
      </w:pPr>
      <w:r>
        <w:t>Annex 1</w:t>
      </w:r>
      <w:r>
        <w:tab/>
      </w:r>
      <w:r>
        <w:tab/>
      </w:r>
      <w:r>
        <w:tab/>
      </w:r>
      <w:r>
        <w:tab/>
      </w:r>
      <w:r>
        <w:tab/>
      </w:r>
      <w:r w:rsidR="00AB6FB6">
        <w:t>List of Participants</w:t>
      </w:r>
    </w:p>
    <w:p w14:paraId="4BA8ACBC" w14:textId="1F663AC3" w:rsidR="00AB6FB6" w:rsidRDefault="00AB6FB6">
      <w:pPr>
        <w:tabs>
          <w:tab w:val="clear" w:pos="567"/>
        </w:tabs>
        <w:spacing w:after="0" w:line="240" w:lineRule="auto"/>
        <w:jc w:val="left"/>
      </w:pPr>
      <w:r>
        <w:t>Annex 2</w:t>
      </w:r>
      <w:r>
        <w:tab/>
      </w:r>
      <w:r>
        <w:tab/>
      </w:r>
      <w:r>
        <w:tab/>
      </w:r>
      <w:r>
        <w:tab/>
      </w:r>
      <w:r>
        <w:tab/>
        <w:t>List of Documents</w:t>
      </w:r>
    </w:p>
    <w:p w14:paraId="529E8682" w14:textId="438D50EC" w:rsidR="00AB6FB6" w:rsidRDefault="00AB6FB6">
      <w:pPr>
        <w:tabs>
          <w:tab w:val="clear" w:pos="567"/>
        </w:tabs>
        <w:spacing w:after="0" w:line="240" w:lineRule="auto"/>
        <w:jc w:val="left"/>
      </w:pPr>
      <w:r>
        <w:t>Annex 3</w:t>
      </w:r>
      <w:r>
        <w:tab/>
      </w:r>
      <w:r>
        <w:tab/>
      </w:r>
      <w:r>
        <w:tab/>
      </w:r>
      <w:r>
        <w:tab/>
      </w:r>
      <w:r>
        <w:tab/>
        <w:t>List of Actions</w:t>
      </w:r>
    </w:p>
    <w:p w14:paraId="22F4B959" w14:textId="0011069E" w:rsidR="00E22BB6" w:rsidRDefault="00E22BB6">
      <w:pPr>
        <w:tabs>
          <w:tab w:val="clear" w:pos="567"/>
        </w:tabs>
        <w:spacing w:after="0" w:line="240" w:lineRule="auto"/>
        <w:jc w:val="left"/>
      </w:pPr>
      <w:r>
        <w:t>Annex 4</w:t>
      </w:r>
      <w:r>
        <w:tab/>
      </w:r>
      <w:r>
        <w:tab/>
      </w:r>
      <w:r>
        <w:tab/>
      </w:r>
      <w:r>
        <w:tab/>
      </w:r>
      <w:r>
        <w:tab/>
        <w:t>BASAP 2019/2025</w:t>
      </w:r>
      <w:bookmarkStart w:id="1" w:name="_GoBack"/>
      <w:bookmarkEnd w:id="1"/>
    </w:p>
    <w:p w14:paraId="2278845E" w14:textId="764F8D20" w:rsidR="00AB6FB6" w:rsidRPr="00AB6FB6" w:rsidRDefault="00AB6FB6" w:rsidP="00E22BB6">
      <w:pPr>
        <w:tabs>
          <w:tab w:val="clear" w:pos="567"/>
        </w:tabs>
        <w:spacing w:after="0" w:line="240" w:lineRule="auto"/>
        <w:ind w:left="2160" w:hanging="2160"/>
        <w:jc w:val="left"/>
      </w:pPr>
      <w:r>
        <w:t xml:space="preserve">Annex </w:t>
      </w:r>
      <w:r w:rsidR="00E22BB6">
        <w:t>5</w:t>
      </w:r>
      <w:r w:rsidR="00E22BB6">
        <w:tab/>
      </w:r>
      <w:r w:rsidR="00E22BB6">
        <w:tab/>
      </w:r>
      <w:r w:rsidR="00E22BB6">
        <w:tab/>
      </w:r>
      <w:r w:rsidR="00E22BB6">
        <w:tab/>
        <w:t>Bonn Agreement Action Plan Implementation</w:t>
      </w:r>
    </w:p>
    <w:p w14:paraId="5B0707EB" w14:textId="64283A40" w:rsidR="00AB6FB6" w:rsidRPr="00AB6FB6" w:rsidRDefault="00AB6FB6" w:rsidP="00AB6FB6">
      <w:pPr>
        <w:tabs>
          <w:tab w:val="clear" w:pos="567"/>
        </w:tabs>
        <w:spacing w:after="0" w:line="240" w:lineRule="auto"/>
        <w:jc w:val="left"/>
      </w:pPr>
      <w:r>
        <w:t>Annex 6</w:t>
      </w:r>
      <w:r w:rsidR="00E22BB6">
        <w:tab/>
      </w:r>
      <w:r w:rsidR="00E22BB6">
        <w:tab/>
      </w:r>
      <w:r w:rsidR="00E22BB6">
        <w:tab/>
      </w:r>
      <w:r w:rsidR="00E22BB6">
        <w:tab/>
      </w:r>
      <w:r w:rsidR="00E22BB6">
        <w:tab/>
        <w:t>OTSOPA Observer Guidelines</w:t>
      </w:r>
    </w:p>
    <w:p w14:paraId="36257DB2" w14:textId="41869C55" w:rsidR="00E22BB6" w:rsidRPr="00AB6FB6" w:rsidRDefault="00AB6FB6" w:rsidP="00E22BB6">
      <w:pPr>
        <w:tabs>
          <w:tab w:val="clear" w:pos="567"/>
        </w:tabs>
        <w:spacing w:after="0" w:line="240" w:lineRule="auto"/>
        <w:jc w:val="left"/>
      </w:pPr>
      <w:r>
        <w:t>Annex 7</w:t>
      </w:r>
      <w:r w:rsidR="00E22BB6">
        <w:tab/>
      </w:r>
      <w:r w:rsidR="00E22BB6">
        <w:tab/>
      </w:r>
      <w:r w:rsidR="00E22BB6">
        <w:tab/>
      </w:r>
      <w:r w:rsidR="00E22BB6">
        <w:tab/>
      </w:r>
      <w:r w:rsidR="00E22BB6">
        <w:tab/>
      </w:r>
      <w:r w:rsidR="00E22BB6">
        <w:t>Terms of Reference for the Bonn Ministerial</w:t>
      </w:r>
    </w:p>
    <w:p w14:paraId="00B4EA4D" w14:textId="2D8424DA" w:rsidR="00AB6FB6" w:rsidRPr="00AB6FB6" w:rsidRDefault="00E22BB6" w:rsidP="00AB6FB6">
      <w:pPr>
        <w:tabs>
          <w:tab w:val="clear" w:pos="567"/>
        </w:tabs>
        <w:spacing w:after="0" w:line="240" w:lineRule="auto"/>
        <w:jc w:val="left"/>
      </w:pPr>
      <w:r>
        <w:t>A</w:t>
      </w:r>
      <w:r w:rsidR="00AB6FB6">
        <w:t>nnex 8</w:t>
      </w:r>
      <w:r>
        <w:tab/>
      </w:r>
      <w:r>
        <w:tab/>
      </w:r>
      <w:r>
        <w:tab/>
      </w:r>
      <w:r>
        <w:tab/>
      </w:r>
      <w:r>
        <w:tab/>
        <w:t>Joint Area Action Plan</w:t>
      </w:r>
    </w:p>
    <w:p w14:paraId="378D39FB" w14:textId="12A05FB4" w:rsidR="00AB6FB6" w:rsidRPr="00AB6FB6" w:rsidRDefault="00AB6FB6" w:rsidP="00E22BB6">
      <w:pPr>
        <w:tabs>
          <w:tab w:val="clear" w:pos="567"/>
        </w:tabs>
        <w:spacing w:after="0" w:line="240" w:lineRule="auto"/>
        <w:jc w:val="left"/>
      </w:pPr>
      <w:r>
        <w:t>Annex 9</w:t>
      </w:r>
      <w:r w:rsidR="00E22BB6">
        <w:tab/>
      </w:r>
      <w:r w:rsidR="00E22BB6">
        <w:tab/>
      </w:r>
      <w:r w:rsidR="00E22BB6">
        <w:tab/>
      </w:r>
      <w:r w:rsidR="00E22BB6">
        <w:tab/>
      </w:r>
      <w:r w:rsidR="00E22BB6">
        <w:tab/>
        <w:t xml:space="preserve">OTSOPA Programme of Work </w:t>
      </w:r>
    </w:p>
    <w:p w14:paraId="3FF619E4" w14:textId="61535047" w:rsidR="00AB6FB6" w:rsidRPr="00AB6FB6" w:rsidRDefault="00AB6FB6" w:rsidP="00AB6FB6">
      <w:pPr>
        <w:tabs>
          <w:tab w:val="clear" w:pos="567"/>
        </w:tabs>
        <w:spacing w:after="0" w:line="240" w:lineRule="auto"/>
        <w:jc w:val="left"/>
      </w:pPr>
      <w:r>
        <w:t>Annex 10</w:t>
      </w:r>
      <w:r w:rsidR="00E22BB6">
        <w:tab/>
      </w:r>
      <w:r w:rsidR="00E22BB6">
        <w:tab/>
      </w:r>
      <w:r w:rsidR="00E22BB6">
        <w:tab/>
      </w:r>
      <w:r w:rsidR="00E22BB6">
        <w:tab/>
      </w:r>
      <w:r w:rsidR="00E22BB6">
        <w:tab/>
        <w:t>Budget 2018/2019</w:t>
      </w:r>
    </w:p>
    <w:p w14:paraId="5F4C1E9C" w14:textId="40038007" w:rsidR="00AB6FB6" w:rsidRPr="00AB6FB6" w:rsidRDefault="00AB6FB6" w:rsidP="00AB6FB6">
      <w:pPr>
        <w:tabs>
          <w:tab w:val="clear" w:pos="567"/>
        </w:tabs>
        <w:spacing w:after="0" w:line="240" w:lineRule="auto"/>
        <w:jc w:val="left"/>
      </w:pPr>
      <w:r>
        <w:t>Annex 11</w:t>
      </w:r>
      <w:r w:rsidR="00E22BB6">
        <w:tab/>
      </w:r>
      <w:r w:rsidR="00E22BB6">
        <w:tab/>
      </w:r>
      <w:r w:rsidR="00E22BB6">
        <w:tab/>
      </w:r>
      <w:r w:rsidR="00E22BB6">
        <w:tab/>
      </w:r>
      <w:r w:rsidR="00E22BB6">
        <w:tab/>
        <w:t>Financial Contributions 2019</w:t>
      </w:r>
    </w:p>
    <w:p w14:paraId="063F3E43" w14:textId="613B6E4E" w:rsidR="00AB6FB6" w:rsidRPr="00AB6FB6" w:rsidRDefault="00AB6FB6" w:rsidP="00AB6FB6">
      <w:pPr>
        <w:tabs>
          <w:tab w:val="clear" w:pos="567"/>
        </w:tabs>
        <w:spacing w:after="0" w:line="240" w:lineRule="auto"/>
        <w:jc w:val="left"/>
      </w:pPr>
      <w:r>
        <w:t>Annex 12</w:t>
      </w:r>
      <w:r w:rsidR="00E22BB6">
        <w:tab/>
      </w:r>
      <w:r w:rsidR="00E22BB6">
        <w:tab/>
      </w:r>
      <w:r w:rsidR="00E22BB6">
        <w:tab/>
      </w:r>
      <w:r w:rsidR="00E22BB6">
        <w:tab/>
      </w:r>
      <w:r w:rsidR="00E22BB6">
        <w:tab/>
        <w:t>Timetable for Accession of Spain and MARPOL Annex VI</w:t>
      </w:r>
    </w:p>
    <w:p w14:paraId="3B5B0544" w14:textId="4D2B32DB" w:rsidR="00F66AD2" w:rsidRDefault="00F66AD2">
      <w:pPr>
        <w:tabs>
          <w:tab w:val="clear" w:pos="567"/>
        </w:tabs>
        <w:spacing w:after="0" w:line="240" w:lineRule="auto"/>
        <w:jc w:val="left"/>
        <w:rPr>
          <w:rFonts w:ascii="Arial" w:hAnsi="Arial" w:cs="Times New Roman"/>
          <w:noProof/>
          <w:kern w:val="32"/>
          <w:sz w:val="36"/>
          <w:szCs w:val="36"/>
          <w:lang w:val="en-US"/>
        </w:rPr>
      </w:pPr>
      <w:r>
        <w:rPr>
          <w:sz w:val="36"/>
          <w:szCs w:val="36"/>
        </w:rPr>
        <w:br w:type="page"/>
      </w:r>
    </w:p>
    <w:p w14:paraId="0D4ACC7C" w14:textId="77777777" w:rsidR="00F66AD2" w:rsidRDefault="00F66AD2" w:rsidP="00866FFA">
      <w:pPr>
        <w:pStyle w:val="Heading1"/>
        <w:rPr>
          <w:sz w:val="36"/>
          <w:szCs w:val="36"/>
        </w:rPr>
      </w:pPr>
    </w:p>
    <w:p w14:paraId="3665D21E" w14:textId="73E1C234" w:rsidR="000E7043" w:rsidRPr="0014195E" w:rsidRDefault="00CF3B26" w:rsidP="00866FFA">
      <w:pPr>
        <w:pStyle w:val="Heading1"/>
        <w:rPr>
          <w:sz w:val="36"/>
          <w:szCs w:val="36"/>
        </w:rPr>
      </w:pPr>
      <w:bookmarkStart w:id="2" w:name="_Toc529533062"/>
      <w:r w:rsidRPr="0014195E">
        <w:rPr>
          <w:sz w:val="36"/>
          <w:szCs w:val="36"/>
        </w:rPr>
        <w:t>S</w:t>
      </w:r>
      <w:r w:rsidR="000E7043" w:rsidRPr="0014195E">
        <w:rPr>
          <w:sz w:val="36"/>
          <w:szCs w:val="36"/>
        </w:rPr>
        <w:t>ummary Record</w:t>
      </w:r>
      <w:bookmarkEnd w:id="2"/>
    </w:p>
    <w:p w14:paraId="7B3A8E21" w14:textId="77777777" w:rsidR="00D35C77" w:rsidRPr="00866FFA" w:rsidRDefault="00D35C77" w:rsidP="00866FFA">
      <w:pPr>
        <w:pStyle w:val="Heading2"/>
      </w:pPr>
      <w:bookmarkStart w:id="3" w:name="_Toc432599725"/>
      <w:bookmarkStart w:id="4" w:name="_Toc432601134"/>
      <w:bookmarkStart w:id="5" w:name="_Toc499027172"/>
      <w:bookmarkStart w:id="6" w:name="_Toc529533063"/>
      <w:r w:rsidRPr="00866FFA">
        <w:t>Agenda Item 0 – Opening of the Meeting</w:t>
      </w:r>
      <w:bookmarkEnd w:id="3"/>
      <w:bookmarkEnd w:id="4"/>
      <w:bookmarkEnd w:id="5"/>
      <w:bookmarkEnd w:id="6"/>
    </w:p>
    <w:p w14:paraId="106B81E6" w14:textId="77777777" w:rsidR="00D35C77" w:rsidRPr="00866FFA" w:rsidRDefault="00D35C77" w:rsidP="00866FFA">
      <w:bookmarkStart w:id="7" w:name="_Toc432599727"/>
      <w:bookmarkStart w:id="8" w:name="_Toc432601136"/>
      <w:r w:rsidRPr="00866FFA">
        <w:t>0.1</w:t>
      </w:r>
      <w:r w:rsidRPr="00866FFA">
        <w:tab/>
        <w:t xml:space="preserve"> The Chair Willy Dekker, The Netherlands, opened the meeting and welcomed the delegates to the thirt</w:t>
      </w:r>
      <w:r w:rsidR="00550030" w:rsidRPr="00866FFA">
        <w:t>iet</w:t>
      </w:r>
      <w:r w:rsidRPr="00866FFA">
        <w:t xml:space="preserve">h meeting of the Contracting Parties to the Bonn Agreement. </w:t>
      </w:r>
    </w:p>
    <w:p w14:paraId="07631C6A" w14:textId="3F599712" w:rsidR="00D35C77" w:rsidRPr="00866FFA" w:rsidRDefault="00D35C77" w:rsidP="00866FFA">
      <w:r w:rsidRPr="00866FFA">
        <w:t>0.2</w:t>
      </w:r>
      <w:r w:rsidRPr="00866FFA">
        <w:tab/>
        <w:t>Mr Vincent Bouvier, the General Secretary for the Sea outlined the wide reach of the scope of the Bonn Agreement in protecting the marine environment. France noted the 40</w:t>
      </w:r>
      <w:r w:rsidRPr="00866FFA">
        <w:rPr>
          <w:vertAlign w:val="superscript"/>
        </w:rPr>
        <w:t>th</w:t>
      </w:r>
      <w:r w:rsidRPr="00866FFA">
        <w:t xml:space="preserve"> anniversary of the Am</w:t>
      </w:r>
      <w:r w:rsidR="00032B05" w:rsidRPr="00866FFA">
        <w:t>o</w:t>
      </w:r>
      <w:r w:rsidRPr="00866FFA">
        <w:t xml:space="preserve">co </w:t>
      </w:r>
      <w:r w:rsidRPr="00866FFA">
        <w:lastRenderedPageBreak/>
        <w:t xml:space="preserve">Cadiz, one of the worst oil spills in French history and leading to the awareness of the risk of marine pollution events. </w:t>
      </w:r>
    </w:p>
    <w:p w14:paraId="0045C968" w14:textId="77777777" w:rsidR="00D35C77" w:rsidRPr="00866FFA" w:rsidRDefault="00D35C77" w:rsidP="00866FFA">
      <w:r w:rsidRPr="00866FFA">
        <w:t>0.3</w:t>
      </w:r>
      <w:r w:rsidRPr="00866FFA">
        <w:tab/>
        <w:t xml:space="preserve">The Chair thanked the General Secretary, and outlined the priorities for the meeting, </w:t>
      </w:r>
      <w:r w:rsidR="00C830C7" w:rsidRPr="00866FFA">
        <w:t xml:space="preserve">with focus on the accession of Spain and deliverables for the Ministerial 2019. </w:t>
      </w:r>
    </w:p>
    <w:p w14:paraId="104C456B" w14:textId="2B97A33E" w:rsidR="00D35C77" w:rsidRPr="00866FFA" w:rsidRDefault="00D35C77" w:rsidP="00866FFA">
      <w:pPr>
        <w:pStyle w:val="Introduction"/>
        <w:rPr>
          <w:b w:val="0"/>
        </w:rPr>
      </w:pPr>
      <w:r w:rsidRPr="00866FFA">
        <w:rPr>
          <w:b w:val="0"/>
        </w:rPr>
        <w:t xml:space="preserve">0.4 </w:t>
      </w:r>
      <w:r w:rsidRPr="00866FFA">
        <w:rPr>
          <w:b w:val="0"/>
        </w:rPr>
        <w:tab/>
        <w:t xml:space="preserve">The Executive Secretary, Susana Salvador, introduced the Secretariat with Olle Åkesson (Assistant), Charlotte Mogensen </w:t>
      </w:r>
      <w:r w:rsidR="00C830C7" w:rsidRPr="00866FFA">
        <w:rPr>
          <w:b w:val="0"/>
        </w:rPr>
        <w:t>(</w:t>
      </w:r>
      <w:r w:rsidRPr="00866FFA">
        <w:rPr>
          <w:b w:val="0"/>
        </w:rPr>
        <w:t xml:space="preserve">Deputy-Secretary), Lucy Ritchie </w:t>
      </w:r>
      <w:r w:rsidR="00C830C7" w:rsidRPr="00866FFA">
        <w:rPr>
          <w:b w:val="0"/>
        </w:rPr>
        <w:t>(</w:t>
      </w:r>
      <w:r w:rsidRPr="00866FFA">
        <w:rPr>
          <w:b w:val="0"/>
        </w:rPr>
        <w:t>Communication lead), and Corinne Michel (Finance officer), and introduced late documents BONN 18/2/7,</w:t>
      </w:r>
      <w:r w:rsidR="0065624E" w:rsidRPr="00866FFA">
        <w:rPr>
          <w:b w:val="0"/>
        </w:rPr>
        <w:t xml:space="preserve"> BONN 18/2/10, BONN 18/2/11,</w:t>
      </w:r>
      <w:r w:rsidRPr="00866FFA">
        <w:rPr>
          <w:b w:val="0"/>
        </w:rPr>
        <w:t xml:space="preserve"> BONN 18/3/2</w:t>
      </w:r>
      <w:r w:rsidR="0065624E" w:rsidRPr="00866FFA">
        <w:rPr>
          <w:b w:val="0"/>
        </w:rPr>
        <w:t xml:space="preserve">, </w:t>
      </w:r>
      <w:r w:rsidRPr="00866FFA">
        <w:rPr>
          <w:b w:val="0"/>
        </w:rPr>
        <w:t>BONN 18/3/2 Add1</w:t>
      </w:r>
      <w:r w:rsidR="0065624E" w:rsidRPr="00866FFA">
        <w:rPr>
          <w:b w:val="0"/>
        </w:rPr>
        <w:t>, BONN 18/3/15</w:t>
      </w:r>
      <w:r w:rsidRPr="00866FFA">
        <w:rPr>
          <w:b w:val="0"/>
        </w:rPr>
        <w:t xml:space="preserve">). The meeting </w:t>
      </w:r>
      <w:r w:rsidRPr="006E4610">
        <w:rPr>
          <w:b w:val="0"/>
        </w:rPr>
        <w:t>agreed</w:t>
      </w:r>
      <w:r w:rsidRPr="00866FFA">
        <w:rPr>
          <w:b w:val="0"/>
        </w:rPr>
        <w:t xml:space="preserve"> to consider the late documents. A full list of participants is at Annex 1. </w:t>
      </w:r>
      <w:bookmarkEnd w:id="7"/>
      <w:bookmarkEnd w:id="8"/>
    </w:p>
    <w:p w14:paraId="590FDAE9" w14:textId="77777777" w:rsidR="00517612" w:rsidRPr="00866FFA" w:rsidRDefault="00057A39" w:rsidP="00866FFA">
      <w:pPr>
        <w:pStyle w:val="Heading2"/>
      </w:pPr>
      <w:bookmarkStart w:id="9" w:name="_Toc529533064"/>
      <w:r w:rsidRPr="00866FFA">
        <w:t>Agenda Item 1 –</w:t>
      </w:r>
      <w:r w:rsidR="00570832" w:rsidRPr="00866FFA">
        <w:t xml:space="preserve"> Adoption of the Agenda</w:t>
      </w:r>
      <w:bookmarkEnd w:id="9"/>
    </w:p>
    <w:p w14:paraId="504DF7F6" w14:textId="77777777" w:rsidR="00C830C7" w:rsidRPr="00866FFA" w:rsidRDefault="00C830C7" w:rsidP="00866FFA">
      <w:r w:rsidRPr="00866FFA">
        <w:rPr>
          <w:rFonts w:eastAsia="Calibri"/>
        </w:rPr>
        <w:t>1.</w:t>
      </w:r>
      <w:r w:rsidR="000E7043" w:rsidRPr="00866FFA">
        <w:rPr>
          <w:rFonts w:eastAsia="Calibri"/>
        </w:rPr>
        <w:t>1</w:t>
      </w:r>
      <w:r w:rsidRPr="00866FFA">
        <w:rPr>
          <w:rFonts w:eastAsia="Calibri"/>
        </w:rPr>
        <w:tab/>
        <w:t xml:space="preserve">BONN adopted the revised agenda and noted the Programme of Work 2017/2018 for BONN (BONN 18/9/Info.1) and the draft Programme of Work 2018/2019 for OTSOPA (BONN 18/9/Info.2). </w:t>
      </w:r>
      <w:r w:rsidRPr="00866FFA">
        <w:t xml:space="preserve">A list of documents is at </w:t>
      </w:r>
      <w:r w:rsidRPr="00866FFA">
        <w:rPr>
          <w:b/>
        </w:rPr>
        <w:t>Annex 2</w:t>
      </w:r>
      <w:r w:rsidRPr="00866FFA">
        <w:t xml:space="preserve">. A list of actions arising from the meeting is at </w:t>
      </w:r>
      <w:r w:rsidRPr="00866FFA">
        <w:rPr>
          <w:b/>
        </w:rPr>
        <w:t>Annex 3</w:t>
      </w:r>
      <w:r w:rsidRPr="00866FFA">
        <w:t>.</w:t>
      </w:r>
    </w:p>
    <w:p w14:paraId="5A2E8A2F" w14:textId="77777777" w:rsidR="00581A2A" w:rsidRPr="00866FFA" w:rsidRDefault="00581A2A" w:rsidP="00866FFA">
      <w:pPr>
        <w:pStyle w:val="Heading2"/>
      </w:pPr>
      <w:bookmarkStart w:id="10" w:name="_Toc432599729"/>
      <w:bookmarkStart w:id="11" w:name="_Toc432601138"/>
      <w:bookmarkStart w:id="12" w:name="_Toc499027174"/>
      <w:bookmarkStart w:id="13" w:name="_Toc529533065"/>
      <w:r w:rsidRPr="00866FFA">
        <w:t xml:space="preserve">Agenda Item 2 – </w:t>
      </w:r>
      <w:bookmarkEnd w:id="10"/>
      <w:bookmarkEnd w:id="11"/>
      <w:r w:rsidRPr="00866FFA">
        <w:t>Strategic Issues</w:t>
      </w:r>
      <w:bookmarkEnd w:id="12"/>
      <w:r w:rsidR="00F3419D" w:rsidRPr="00866FFA">
        <w:t xml:space="preserve"> and Ministerial Preparation</w:t>
      </w:r>
      <w:bookmarkEnd w:id="13"/>
    </w:p>
    <w:p w14:paraId="4678038B" w14:textId="77777777" w:rsidR="00581A2A" w:rsidRPr="00866FFA" w:rsidRDefault="00581A2A" w:rsidP="00866FFA">
      <w:r w:rsidRPr="00866FFA">
        <w:t>Implementation plan for the Bonn Agreement Action Plan 2016-2019</w:t>
      </w:r>
    </w:p>
    <w:p w14:paraId="052CB681" w14:textId="77777777" w:rsidR="00581A2A" w:rsidRPr="00866FFA" w:rsidRDefault="00581A2A" w:rsidP="00866FFA">
      <w:bookmarkStart w:id="14" w:name="_Toc432599730"/>
      <w:bookmarkStart w:id="15" w:name="_Toc432601139"/>
      <w:r w:rsidRPr="00866FFA">
        <w:t>2.</w:t>
      </w:r>
      <w:bookmarkEnd w:id="14"/>
      <w:bookmarkEnd w:id="15"/>
      <w:r w:rsidR="000E7043" w:rsidRPr="00866FFA">
        <w:t>1</w:t>
      </w:r>
      <w:r w:rsidRPr="00866FFA">
        <w:tab/>
        <w:t>The Secretariat introduced</w:t>
      </w:r>
      <w:r w:rsidRPr="00866FFA">
        <w:rPr>
          <w:kern w:val="32"/>
        </w:rPr>
        <w:t xml:space="preserve"> </w:t>
      </w:r>
      <w:r w:rsidRPr="00866FFA">
        <w:t xml:space="preserve">BONN 18/2/1 on the Bonn Agreement Action Plan (BAAP) for 2016-2019. The plan had been updated by OTSOPA </w:t>
      </w:r>
      <w:r w:rsidR="000E7043" w:rsidRPr="00866FFA">
        <w:t>20</w:t>
      </w:r>
      <w:r w:rsidRPr="00866FFA">
        <w:t xml:space="preserve">18. </w:t>
      </w:r>
    </w:p>
    <w:p w14:paraId="1F621F86" w14:textId="77777777" w:rsidR="00581A2A" w:rsidRPr="00866FFA" w:rsidRDefault="00581A2A" w:rsidP="00866FFA">
      <w:r w:rsidRPr="00866FFA">
        <w:t>2.</w:t>
      </w:r>
      <w:r w:rsidR="000E7043" w:rsidRPr="00866FFA">
        <w:t>2</w:t>
      </w:r>
      <w:r w:rsidRPr="00866FFA">
        <w:tab/>
      </w:r>
      <w:r w:rsidRPr="00866FFA">
        <w:rPr>
          <w:b/>
        </w:rPr>
        <w:t>BONN agreed</w:t>
      </w:r>
      <w:r w:rsidRPr="00866FFA">
        <w:t xml:space="preserve"> the BAAP 2016-2019, as outlined in </w:t>
      </w:r>
      <w:r w:rsidRPr="00866FFA">
        <w:rPr>
          <w:b/>
        </w:rPr>
        <w:t>Annex 4</w:t>
      </w:r>
      <w:r w:rsidRPr="00866FFA">
        <w:t>.</w:t>
      </w:r>
    </w:p>
    <w:p w14:paraId="1260150D" w14:textId="77777777" w:rsidR="00581A2A" w:rsidRPr="00866FFA" w:rsidRDefault="00581A2A" w:rsidP="00866FFA">
      <w:r w:rsidRPr="00866FFA">
        <w:t>2.</w:t>
      </w:r>
      <w:r w:rsidR="000E7043" w:rsidRPr="00866FFA">
        <w:t>3</w:t>
      </w:r>
      <w:r w:rsidRPr="00866FFA">
        <w:tab/>
        <w:t>The Secretariat introduced BONN 18/2/2 on the Implementation Plan of the BE-AWARE project.</w:t>
      </w:r>
    </w:p>
    <w:p w14:paraId="0B143E23" w14:textId="77777777" w:rsidR="00581A2A" w:rsidRPr="00866FFA" w:rsidRDefault="00581A2A" w:rsidP="00866FFA">
      <w:pPr>
        <w:rPr>
          <w:b/>
        </w:rPr>
      </w:pPr>
      <w:r w:rsidRPr="00866FFA">
        <w:t>2.</w:t>
      </w:r>
      <w:r w:rsidR="000E7043" w:rsidRPr="00866FFA">
        <w:t>4</w:t>
      </w:r>
      <w:r w:rsidRPr="00866FFA">
        <w:tab/>
      </w:r>
      <w:r w:rsidRPr="00866FFA">
        <w:rPr>
          <w:b/>
        </w:rPr>
        <w:t>BONN agreed</w:t>
      </w:r>
      <w:r w:rsidRPr="00866FFA">
        <w:t xml:space="preserve"> the BE-AWARE Implementation Plan with amendments, as outlined in </w:t>
      </w:r>
      <w:r w:rsidRPr="00866FFA">
        <w:rPr>
          <w:b/>
        </w:rPr>
        <w:t>Annex 5</w:t>
      </w:r>
      <w:r w:rsidRPr="00866FFA">
        <w:t>, with the amendments advised by OTSOPA 2018.</w:t>
      </w:r>
      <w:r w:rsidRPr="00866FFA" w:rsidDel="001450F4">
        <w:t xml:space="preserve"> </w:t>
      </w:r>
    </w:p>
    <w:p w14:paraId="22A070DA" w14:textId="77777777" w:rsidR="00467A45" w:rsidRPr="00866FFA" w:rsidRDefault="00581A2A" w:rsidP="00866FFA">
      <w:pPr>
        <w:rPr>
          <w:color w:val="0000FF"/>
        </w:rPr>
      </w:pPr>
      <w:r w:rsidRPr="00866FFA">
        <w:rPr>
          <w:noProof/>
          <w:lang w:val="en-US"/>
        </w:rPr>
        <w:t>2.</w:t>
      </w:r>
      <w:r w:rsidR="000E7043" w:rsidRPr="00866FFA">
        <w:rPr>
          <w:noProof/>
          <w:lang w:val="en-US"/>
        </w:rPr>
        <w:t>5</w:t>
      </w:r>
      <w:r w:rsidR="00230649" w:rsidRPr="00866FFA">
        <w:rPr>
          <w:noProof/>
          <w:lang w:val="en-US"/>
        </w:rPr>
        <w:tab/>
      </w:r>
      <w:r w:rsidRPr="00866FFA">
        <w:t>The Secretariat presented</w:t>
      </w:r>
      <w:r w:rsidR="00230649" w:rsidRPr="00866FFA">
        <w:rPr>
          <w:noProof/>
          <w:lang w:val="en-US"/>
        </w:rPr>
        <w:t xml:space="preserve"> revised observer guidelines for OTSOPA (BONN 18/2/</w:t>
      </w:r>
      <w:r w:rsidR="00115972" w:rsidRPr="00866FFA">
        <w:rPr>
          <w:noProof/>
          <w:lang w:val="en-US"/>
        </w:rPr>
        <w:t>3</w:t>
      </w:r>
      <w:r w:rsidR="00230649" w:rsidRPr="00866FFA">
        <w:rPr>
          <w:noProof/>
          <w:lang w:val="en-US"/>
        </w:rPr>
        <w:t>)</w:t>
      </w:r>
      <w:r w:rsidRPr="00866FFA">
        <w:rPr>
          <w:noProof/>
          <w:lang w:val="en-US"/>
        </w:rPr>
        <w:t xml:space="preserve">, which </w:t>
      </w:r>
      <w:r w:rsidR="00865A5F" w:rsidRPr="00866FFA">
        <w:t xml:space="preserve">are based on </w:t>
      </w:r>
      <w:r w:rsidR="000E7043" w:rsidRPr="00866FFA">
        <w:t xml:space="preserve">the </w:t>
      </w:r>
      <w:r w:rsidR="00865A5F" w:rsidRPr="00866FFA">
        <w:t>observer guidelines</w:t>
      </w:r>
      <w:r w:rsidR="00C830C7" w:rsidRPr="00866FFA">
        <w:t xml:space="preserve"> </w:t>
      </w:r>
      <w:r w:rsidR="000E7043" w:rsidRPr="00866FFA">
        <w:t xml:space="preserve">of </w:t>
      </w:r>
      <w:r w:rsidR="00C830C7" w:rsidRPr="00866FFA">
        <w:t xml:space="preserve">OSPAR and </w:t>
      </w:r>
      <w:r w:rsidR="000E7043" w:rsidRPr="00866FFA">
        <w:t xml:space="preserve">the </w:t>
      </w:r>
      <w:r w:rsidR="00865A5F" w:rsidRPr="00866FFA">
        <w:t>Arctic Co</w:t>
      </w:r>
      <w:r w:rsidR="00A80400" w:rsidRPr="00866FFA">
        <w:t xml:space="preserve">uncil. The presented guidelines </w:t>
      </w:r>
      <w:r w:rsidR="000E7043" w:rsidRPr="00866FFA">
        <w:t xml:space="preserve">had been </w:t>
      </w:r>
      <w:r w:rsidR="00865A5F" w:rsidRPr="00866FFA">
        <w:t>agreed by OTSOPA 2018.</w:t>
      </w:r>
    </w:p>
    <w:p w14:paraId="00160E27" w14:textId="77777777" w:rsidR="00F70E74" w:rsidRPr="00866FFA" w:rsidRDefault="00581A2A" w:rsidP="00866FFA">
      <w:pPr>
        <w:rPr>
          <w:noProof/>
          <w:lang w:val="en-US"/>
        </w:rPr>
      </w:pPr>
      <w:r w:rsidRPr="00866FFA">
        <w:t>2.</w:t>
      </w:r>
      <w:r w:rsidR="000E7043" w:rsidRPr="00866FFA">
        <w:t>6</w:t>
      </w:r>
      <w:r w:rsidRPr="00866FFA">
        <w:tab/>
      </w:r>
      <w:r w:rsidRPr="00866FFA">
        <w:rPr>
          <w:b/>
        </w:rPr>
        <w:t>BONN agreed</w:t>
      </w:r>
      <w:r w:rsidRPr="00866FFA">
        <w:t xml:space="preserve"> the </w:t>
      </w:r>
      <w:r w:rsidR="00F70E74" w:rsidRPr="00866FFA">
        <w:rPr>
          <w:noProof/>
          <w:lang w:val="en-US"/>
        </w:rPr>
        <w:t>guidelines</w:t>
      </w:r>
      <w:r w:rsidRPr="00866FFA">
        <w:rPr>
          <w:noProof/>
          <w:lang w:val="en-US"/>
        </w:rPr>
        <w:t xml:space="preserve">, </w:t>
      </w:r>
      <w:r w:rsidR="00C270E6" w:rsidRPr="00866FFA">
        <w:rPr>
          <w:noProof/>
          <w:lang w:val="en-US"/>
        </w:rPr>
        <w:t>as outlined in</w:t>
      </w:r>
      <w:r w:rsidR="00C270E6" w:rsidRPr="00866FFA">
        <w:rPr>
          <w:b/>
          <w:noProof/>
          <w:lang w:val="en-US"/>
        </w:rPr>
        <w:t xml:space="preserve"> Annex 6</w:t>
      </w:r>
      <w:r w:rsidR="00C270E6" w:rsidRPr="00866FFA">
        <w:rPr>
          <w:noProof/>
          <w:lang w:val="en-US"/>
        </w:rPr>
        <w:t xml:space="preserve">, </w:t>
      </w:r>
      <w:r w:rsidRPr="00866FFA">
        <w:rPr>
          <w:noProof/>
          <w:lang w:val="en-US"/>
        </w:rPr>
        <w:t>and requested the Secretari</w:t>
      </w:r>
      <w:r w:rsidR="005418AA" w:rsidRPr="00866FFA">
        <w:rPr>
          <w:noProof/>
          <w:lang w:val="en-US"/>
        </w:rPr>
        <w:t>a</w:t>
      </w:r>
      <w:r w:rsidRPr="00866FFA">
        <w:rPr>
          <w:noProof/>
          <w:lang w:val="en-US"/>
        </w:rPr>
        <w:t xml:space="preserve">t to inform relevant NGOs and IGOs that </w:t>
      </w:r>
      <w:r w:rsidR="0062681C" w:rsidRPr="00866FFA">
        <w:rPr>
          <w:noProof/>
          <w:lang w:val="en-US"/>
        </w:rPr>
        <w:t xml:space="preserve"> the</w:t>
      </w:r>
      <w:r w:rsidR="000E7043" w:rsidRPr="00866FFA">
        <w:rPr>
          <w:noProof/>
          <w:lang w:val="en-US"/>
        </w:rPr>
        <w:t>y</w:t>
      </w:r>
      <w:r w:rsidR="0062681C" w:rsidRPr="00866FFA">
        <w:rPr>
          <w:noProof/>
          <w:lang w:val="en-US"/>
        </w:rPr>
        <w:t xml:space="preserve"> would be able to apply for observer status for </w:t>
      </w:r>
      <w:r w:rsidRPr="00866FFA">
        <w:rPr>
          <w:noProof/>
          <w:lang w:val="en-US"/>
        </w:rPr>
        <w:t>OTSOPA 2019</w:t>
      </w:r>
      <w:r w:rsidR="0062681C" w:rsidRPr="00866FFA">
        <w:rPr>
          <w:noProof/>
          <w:lang w:val="en-US"/>
        </w:rPr>
        <w:t>.</w:t>
      </w:r>
    </w:p>
    <w:p w14:paraId="7DC755C7" w14:textId="77777777" w:rsidR="00AB6FB6" w:rsidRDefault="00AB6FB6" w:rsidP="00866FFA">
      <w:pPr>
        <w:rPr>
          <w:i/>
          <w:noProof/>
          <w:lang w:val="en-US"/>
        </w:rPr>
      </w:pPr>
    </w:p>
    <w:p w14:paraId="63329DEA" w14:textId="77777777" w:rsidR="00AB6FB6" w:rsidRDefault="00AB6FB6" w:rsidP="00866FFA">
      <w:pPr>
        <w:rPr>
          <w:i/>
          <w:noProof/>
          <w:lang w:val="en-US"/>
        </w:rPr>
      </w:pPr>
    </w:p>
    <w:p w14:paraId="27E10622" w14:textId="77777777" w:rsidR="00AB6FB6" w:rsidRDefault="00AB6FB6" w:rsidP="00866FFA">
      <w:pPr>
        <w:rPr>
          <w:i/>
          <w:noProof/>
          <w:lang w:val="en-US"/>
        </w:rPr>
      </w:pPr>
    </w:p>
    <w:p w14:paraId="7A6228AF" w14:textId="77777777" w:rsidR="00A601FA" w:rsidRPr="00866FFA" w:rsidRDefault="00A601FA" w:rsidP="00866FFA">
      <w:pPr>
        <w:rPr>
          <w:i/>
        </w:rPr>
      </w:pPr>
      <w:r w:rsidRPr="00866FFA">
        <w:rPr>
          <w:i/>
          <w:noProof/>
          <w:lang w:val="en-US"/>
        </w:rPr>
        <w:t>Ministerial Preparation</w:t>
      </w:r>
    </w:p>
    <w:p w14:paraId="22BFC12E" w14:textId="77777777" w:rsidR="00D62C5D" w:rsidRPr="00AB6FB6" w:rsidRDefault="00D62C5D" w:rsidP="00AB6FB6">
      <w:pPr>
        <w:rPr>
          <w:i/>
        </w:rPr>
      </w:pPr>
      <w:r w:rsidRPr="00AB6FB6">
        <w:rPr>
          <w:i/>
        </w:rPr>
        <w:t xml:space="preserve">Inclusion </w:t>
      </w:r>
      <w:r w:rsidR="00A601FA" w:rsidRPr="00AB6FB6">
        <w:rPr>
          <w:i/>
        </w:rPr>
        <w:t xml:space="preserve">of MARPOL Annex VI in the Bonn Agreement </w:t>
      </w:r>
    </w:p>
    <w:p w14:paraId="3162C213" w14:textId="4252566F" w:rsidR="00820E1E" w:rsidRPr="00866FFA" w:rsidRDefault="00131449" w:rsidP="00866FFA">
      <w:r w:rsidRPr="00866FFA">
        <w:t>2.</w:t>
      </w:r>
      <w:r w:rsidR="000E7043" w:rsidRPr="00866FFA">
        <w:t>7</w:t>
      </w:r>
      <w:r w:rsidRPr="00866FFA">
        <w:tab/>
        <w:t xml:space="preserve">Belgium presented </w:t>
      </w:r>
      <w:r w:rsidR="00A601FA" w:rsidRPr="00866FFA">
        <w:t>BONN 18/2/5</w:t>
      </w:r>
      <w:r w:rsidRPr="00866FFA">
        <w:t xml:space="preserve">, a strategic document on including MARPOL </w:t>
      </w:r>
      <w:r w:rsidR="00032B05" w:rsidRPr="00866FFA">
        <w:t xml:space="preserve">Annex </w:t>
      </w:r>
      <w:r w:rsidRPr="00866FFA">
        <w:t xml:space="preserve">VI in the scope of the work of the Bonn Agreement. Intersessional work had taking place, as requested by Bonn </w:t>
      </w:r>
      <w:r w:rsidR="000E7043" w:rsidRPr="00866FFA">
        <w:t>20</w:t>
      </w:r>
      <w:r w:rsidRPr="00866FFA">
        <w:t xml:space="preserve">17. The Intersessional </w:t>
      </w:r>
      <w:r w:rsidR="000D691A" w:rsidRPr="00866FFA">
        <w:t>Correspondence</w:t>
      </w:r>
      <w:r w:rsidRPr="00866FFA">
        <w:t xml:space="preserve"> Group had made a legal analysis of the Bonn Agreement, however no consensus had been reached on the analysis. Therefore an independent legal advisor had </w:t>
      </w:r>
      <w:r w:rsidR="000E7043" w:rsidRPr="00866FFA">
        <w:t xml:space="preserve">analysed </w:t>
      </w:r>
      <w:r w:rsidRPr="00866FFA">
        <w:t xml:space="preserve">the legal text </w:t>
      </w:r>
      <w:r w:rsidR="000E7043" w:rsidRPr="00866FFA">
        <w:t xml:space="preserve">of </w:t>
      </w:r>
      <w:r w:rsidRPr="00866FFA">
        <w:t xml:space="preserve">the Bonn Agreement. The Secretariat introduced </w:t>
      </w:r>
      <w:r w:rsidR="000E7043" w:rsidRPr="00866FFA">
        <w:t xml:space="preserve">BONN </w:t>
      </w:r>
      <w:r w:rsidRPr="00866FFA">
        <w:t xml:space="preserve">18/2/5 Add.1 and noted that the independent legal advisor had concluded that there </w:t>
      </w:r>
      <w:r w:rsidR="000E7043" w:rsidRPr="00866FFA">
        <w:t xml:space="preserve">were </w:t>
      </w:r>
      <w:r w:rsidRPr="00866FFA">
        <w:t>no legal obstacles for including MARPOL Annex VI within the Bonn Agreement work, as the Agreement already work</w:t>
      </w:r>
      <w:r w:rsidR="000E7043" w:rsidRPr="00866FFA">
        <w:t>ed</w:t>
      </w:r>
      <w:r w:rsidRPr="00866FFA">
        <w:t xml:space="preserve"> on several MARPOL Annexes without there being a special mention of these within the Agreement. It was further noted that the International Maritime Organisation</w:t>
      </w:r>
      <w:r w:rsidR="000E7043" w:rsidRPr="00866FFA">
        <w:t xml:space="preserve"> </w:t>
      </w:r>
      <w:r w:rsidRPr="00866FFA">
        <w:t>define</w:t>
      </w:r>
      <w:r w:rsidR="00820E1E" w:rsidRPr="00866FFA">
        <w:t>d</w:t>
      </w:r>
      <w:r w:rsidRPr="00866FFA">
        <w:t xml:space="preserve"> mari</w:t>
      </w:r>
      <w:r w:rsidR="00032B05" w:rsidRPr="00866FFA">
        <w:t>ne</w:t>
      </w:r>
      <w:r w:rsidRPr="00866FFA">
        <w:t xml:space="preserve"> pollution</w:t>
      </w:r>
      <w:r w:rsidR="00820E1E" w:rsidRPr="00866FFA">
        <w:t xml:space="preserve"> broadly.</w:t>
      </w:r>
    </w:p>
    <w:p w14:paraId="34BC2DDE" w14:textId="77777777" w:rsidR="008F660A" w:rsidRPr="00866FFA" w:rsidRDefault="00131449" w:rsidP="00866FFA">
      <w:r w:rsidRPr="00866FFA">
        <w:t>2.</w:t>
      </w:r>
      <w:r w:rsidR="000E7043" w:rsidRPr="00866FFA">
        <w:t>8</w:t>
      </w:r>
      <w:r w:rsidRPr="00866FFA">
        <w:tab/>
        <w:t xml:space="preserve">In discussion a tour de table was initiated by the Chair; Contracting Parties supported in principle that </w:t>
      </w:r>
      <w:r w:rsidR="008F660A" w:rsidRPr="00866FFA">
        <w:t xml:space="preserve">MARPOL Annex VI </w:t>
      </w:r>
      <w:r w:rsidRPr="00866FFA">
        <w:t xml:space="preserve">should be </w:t>
      </w:r>
      <w:r w:rsidR="008F660A" w:rsidRPr="00866FFA">
        <w:t xml:space="preserve">included in the Bonn Agreement. </w:t>
      </w:r>
      <w:r w:rsidR="008A771E" w:rsidRPr="00866FFA">
        <w:t xml:space="preserve">However for several Contracting Parties </w:t>
      </w:r>
      <w:r w:rsidR="008A771E" w:rsidRPr="00866FFA">
        <w:lastRenderedPageBreak/>
        <w:t xml:space="preserve">there was a need to amend the Agreement text accordingly. </w:t>
      </w:r>
      <w:r w:rsidR="005418AA" w:rsidRPr="00866FFA">
        <w:t>I</w:t>
      </w:r>
      <w:r w:rsidR="008A771E" w:rsidRPr="00866FFA">
        <w:t xml:space="preserve">t was further noted that for most Contracting Parties the responsibility for MARPOL Annex VI was placed within another Ministry/administration, and there was a need for consultation with the authority with which </w:t>
      </w:r>
      <w:r w:rsidR="00F3419D" w:rsidRPr="00866FFA">
        <w:t xml:space="preserve">responsibility for </w:t>
      </w:r>
      <w:r w:rsidR="008A771E" w:rsidRPr="00866FFA">
        <w:t xml:space="preserve">MARPOL Annex VI belonged. </w:t>
      </w:r>
    </w:p>
    <w:p w14:paraId="323864C2" w14:textId="77777777" w:rsidR="008A771E" w:rsidRPr="00866FFA" w:rsidRDefault="008A771E" w:rsidP="00866FFA">
      <w:r w:rsidRPr="00866FFA">
        <w:t>2.</w:t>
      </w:r>
      <w:r w:rsidR="00F3419D" w:rsidRPr="00866FFA">
        <w:t>9</w:t>
      </w:r>
      <w:r w:rsidRPr="00866FFA">
        <w:tab/>
        <w:t>The Secretariat noted that in amending the Agreement text it was important to be pragmatic and make the amendments all inclusive for future work with MARPOL.</w:t>
      </w:r>
    </w:p>
    <w:p w14:paraId="387E286A" w14:textId="77777777" w:rsidR="00420949" w:rsidRPr="00866FFA" w:rsidRDefault="008A771E" w:rsidP="00866FFA">
      <w:r w:rsidRPr="00866FFA">
        <w:t>2.</w:t>
      </w:r>
      <w:r w:rsidR="00F3419D" w:rsidRPr="00866FFA">
        <w:t>10</w:t>
      </w:r>
      <w:r w:rsidRPr="00866FFA">
        <w:tab/>
      </w:r>
      <w:r w:rsidR="00F3419D" w:rsidRPr="00866FFA">
        <w:t xml:space="preserve">The </w:t>
      </w:r>
      <w:r w:rsidR="00420949" w:rsidRPr="00866FFA">
        <w:t xml:space="preserve">Chair concluded on the willingness </w:t>
      </w:r>
      <w:r w:rsidRPr="00866FFA">
        <w:t xml:space="preserve">of BONN HoD </w:t>
      </w:r>
      <w:r w:rsidR="00420949" w:rsidRPr="00866FFA">
        <w:t xml:space="preserve">to go forward and </w:t>
      </w:r>
      <w:r w:rsidRPr="00866FFA">
        <w:t>requested</w:t>
      </w:r>
      <w:r w:rsidR="00420949" w:rsidRPr="00866FFA">
        <w:t xml:space="preserve"> the Secretariat to amend the text with </w:t>
      </w:r>
      <w:r w:rsidR="00FD6236" w:rsidRPr="00866FFA">
        <w:t>Germany, as the depository</w:t>
      </w:r>
      <w:r w:rsidRPr="00866FFA">
        <w:t>.</w:t>
      </w:r>
    </w:p>
    <w:p w14:paraId="5AE13E5A" w14:textId="6BCAC89F" w:rsidR="008C0ADD" w:rsidRPr="00866FFA" w:rsidRDefault="008A771E" w:rsidP="00866FFA">
      <w:r w:rsidRPr="00866FFA">
        <w:t>2.</w:t>
      </w:r>
      <w:r w:rsidR="00F3419D" w:rsidRPr="00866FFA">
        <w:t>11</w:t>
      </w:r>
      <w:r w:rsidRPr="00866FFA">
        <w:tab/>
      </w:r>
      <w:r w:rsidRPr="00866FFA">
        <w:rPr>
          <w:b/>
        </w:rPr>
        <w:t>BONN agreed</w:t>
      </w:r>
      <w:r w:rsidRPr="00866FFA">
        <w:t xml:space="preserve"> to include MARPOL Annex VI in the Bonn Agreement</w:t>
      </w:r>
      <w:r w:rsidR="00661E71" w:rsidRPr="00866FFA">
        <w:t xml:space="preserve"> and for the </w:t>
      </w:r>
      <w:r w:rsidR="006F3302" w:rsidRPr="00866FFA">
        <w:t xml:space="preserve">Secretariat </w:t>
      </w:r>
      <w:r w:rsidR="00661E71" w:rsidRPr="00866FFA">
        <w:t xml:space="preserve">and Germany as depository of the Agreement to propose amendments to the Agreement with the deadline of </w:t>
      </w:r>
      <w:r w:rsidR="00D157CD" w:rsidRPr="00866FFA">
        <w:t>30 November</w:t>
      </w:r>
      <w:r w:rsidR="00240A02" w:rsidRPr="00866FFA">
        <w:rPr>
          <w:rStyle w:val="FootnoteReference"/>
          <w:color w:val="000000" w:themeColor="text1"/>
        </w:rPr>
        <w:footnoteReference w:id="2"/>
      </w:r>
      <w:r w:rsidR="00661E71" w:rsidRPr="00866FFA">
        <w:t xml:space="preserve">, 2018. As it was noted that the process of national ratification of the amended Agreement </w:t>
      </w:r>
      <w:r w:rsidR="00F3419D" w:rsidRPr="00866FFA">
        <w:t xml:space="preserve">was </w:t>
      </w:r>
      <w:r w:rsidR="00661E71" w:rsidRPr="00866FFA">
        <w:t>different in every Contracting Party, the Secretariat was requested to develop a timeline for the work by the Secretariat and Germany.</w:t>
      </w:r>
      <w:r w:rsidR="000D5AE6" w:rsidRPr="00866FFA">
        <w:t xml:space="preserve"> </w:t>
      </w:r>
      <w:r w:rsidR="00061EF7" w:rsidRPr="006E4610">
        <w:rPr>
          <w:b/>
        </w:rPr>
        <w:t>BONN furthermore agreed</w:t>
      </w:r>
      <w:r w:rsidR="00061EF7" w:rsidRPr="00866FFA">
        <w:t xml:space="preserve"> to already start a technical discussion at OTSOPA on how MARPOL Annex VI compliance monitoring operations could be organized throughout the North Sea SECA.</w:t>
      </w:r>
    </w:p>
    <w:p w14:paraId="0E21E65A" w14:textId="77777777" w:rsidR="002D3383" w:rsidRPr="00AB6FB6" w:rsidRDefault="0044542E" w:rsidP="00AB6FB6">
      <w:pPr>
        <w:rPr>
          <w:i/>
        </w:rPr>
      </w:pPr>
      <w:r w:rsidRPr="00AB6FB6">
        <w:rPr>
          <w:i/>
        </w:rPr>
        <w:t>D</w:t>
      </w:r>
      <w:r w:rsidR="006E05CB" w:rsidRPr="00AB6FB6">
        <w:rPr>
          <w:i/>
        </w:rPr>
        <w:t>raft Bonn Agreement Strategic Action Plan</w:t>
      </w:r>
      <w:r w:rsidR="00467A45" w:rsidRPr="00AB6FB6">
        <w:rPr>
          <w:i/>
        </w:rPr>
        <w:t xml:space="preserve"> (BASAP) for 2019</w:t>
      </w:r>
      <w:r w:rsidR="002D3383" w:rsidRPr="00AB6FB6">
        <w:rPr>
          <w:i/>
        </w:rPr>
        <w:t xml:space="preserve">-2025 </w:t>
      </w:r>
    </w:p>
    <w:p w14:paraId="458ED480" w14:textId="77777777" w:rsidR="008A22A1" w:rsidRPr="00866FFA" w:rsidRDefault="0044542E" w:rsidP="00866FFA">
      <w:pPr>
        <w:rPr>
          <w:highlight w:val="yellow"/>
        </w:rPr>
      </w:pPr>
      <w:r w:rsidRPr="00866FFA">
        <w:t>2.</w:t>
      </w:r>
      <w:r w:rsidR="00F3419D" w:rsidRPr="00866FFA">
        <w:t>12</w:t>
      </w:r>
      <w:r w:rsidR="008A22A1" w:rsidRPr="00866FFA">
        <w:tab/>
        <w:t xml:space="preserve">The Secretariat presented </w:t>
      </w:r>
      <w:r w:rsidRPr="00866FFA">
        <w:t>BONN 18/2/4</w:t>
      </w:r>
      <w:r w:rsidR="008A22A1" w:rsidRPr="00866FFA">
        <w:t>, the Draft Bonn Agreement Strategic Action Plan (BASAP) 2019-2025, which includes strategic priorities identified by BONN 2017</w:t>
      </w:r>
      <w:r w:rsidRPr="00866FFA">
        <w:t xml:space="preserve"> from the SWOT analysis.</w:t>
      </w:r>
      <w:r w:rsidR="008A22A1" w:rsidRPr="00866FFA">
        <w:t xml:space="preserve"> OTSOPA </w:t>
      </w:r>
      <w:r w:rsidRPr="00866FFA">
        <w:t xml:space="preserve">had </w:t>
      </w:r>
      <w:r w:rsidR="008A22A1" w:rsidRPr="00866FFA">
        <w:t xml:space="preserve">reviewed the BASAP based upon information from the Secretariat with the focus on the BASAP as being a major deliverable for the Ministerial </w:t>
      </w:r>
      <w:r w:rsidRPr="00866FFA">
        <w:t xml:space="preserve">2019. </w:t>
      </w:r>
      <w:r w:rsidR="00662619" w:rsidRPr="00866FFA">
        <w:t xml:space="preserve">It was noted by the Secretariat that the addendum, which included the technical part of the BASAP would needed to be amended by OTSOPA prior to adoption </w:t>
      </w:r>
      <w:r w:rsidR="00F3419D" w:rsidRPr="00866FFA">
        <w:t xml:space="preserve">by </w:t>
      </w:r>
      <w:r w:rsidR="00662619" w:rsidRPr="00866FFA">
        <w:t>BONN HoD for the Ministerial 2019.</w:t>
      </w:r>
    </w:p>
    <w:p w14:paraId="137B091F" w14:textId="77777777" w:rsidR="00C246B9" w:rsidRPr="00866FFA" w:rsidRDefault="0044542E" w:rsidP="00866FFA">
      <w:pPr>
        <w:pStyle w:val="BodyText"/>
        <w:rPr>
          <w:color w:val="000000" w:themeColor="text1"/>
        </w:rPr>
      </w:pPr>
      <w:r w:rsidRPr="00866FFA">
        <w:rPr>
          <w:color w:val="000000" w:themeColor="text1"/>
        </w:rPr>
        <w:t>2.</w:t>
      </w:r>
      <w:r w:rsidR="00F3419D" w:rsidRPr="00866FFA">
        <w:rPr>
          <w:color w:val="000000" w:themeColor="text1"/>
        </w:rPr>
        <w:t>13</w:t>
      </w:r>
      <w:r w:rsidRPr="00866FFA">
        <w:rPr>
          <w:color w:val="000000" w:themeColor="text1"/>
        </w:rPr>
        <w:tab/>
      </w:r>
      <w:r w:rsidR="005418AA" w:rsidRPr="00866FFA">
        <w:t>A</w:t>
      </w:r>
      <w:r w:rsidRPr="00866FFA">
        <w:rPr>
          <w:lang w:val="en-US"/>
        </w:rPr>
        <w:t xml:space="preserve"> tour de table was initiated by the Chair; Contracting Parties noted that there was a need to link the BASAP to the SWOT analysis in the preamble text, and </w:t>
      </w:r>
      <w:r w:rsidR="00F3419D" w:rsidRPr="00866FFA">
        <w:rPr>
          <w:lang w:val="en-US"/>
        </w:rPr>
        <w:t xml:space="preserve">to recognise </w:t>
      </w:r>
      <w:r w:rsidRPr="00866FFA">
        <w:rPr>
          <w:lang w:val="en-US"/>
        </w:rPr>
        <w:t>Contracting Parties</w:t>
      </w:r>
      <w:r w:rsidR="00F3419D" w:rsidRPr="00866FFA">
        <w:rPr>
          <w:lang w:val="en-US"/>
        </w:rPr>
        <w:t>’</w:t>
      </w:r>
      <w:r w:rsidRPr="00866FFA">
        <w:rPr>
          <w:lang w:val="en-US"/>
        </w:rPr>
        <w:t xml:space="preserve"> national competence for the deliverables within the draft strategy. There was further a need to clarify the meaning of the wording on coordination, and it was advised that the text in the preamble </w:t>
      </w:r>
      <w:r w:rsidR="00C246B9" w:rsidRPr="00866FFA">
        <w:rPr>
          <w:lang w:val="en-US"/>
        </w:rPr>
        <w:t xml:space="preserve">should be more precise and not </w:t>
      </w:r>
      <w:r w:rsidR="00F3419D" w:rsidRPr="00866FFA">
        <w:rPr>
          <w:lang w:val="en-US"/>
        </w:rPr>
        <w:t xml:space="preserve">overlap </w:t>
      </w:r>
      <w:r w:rsidR="00C246B9" w:rsidRPr="00866FFA">
        <w:rPr>
          <w:lang w:val="en-US"/>
        </w:rPr>
        <w:t>with other organisations</w:t>
      </w:r>
      <w:r w:rsidR="00F3419D" w:rsidRPr="00866FFA">
        <w:rPr>
          <w:lang w:val="en-US"/>
        </w:rPr>
        <w:t>’</w:t>
      </w:r>
      <w:r w:rsidR="00C246B9" w:rsidRPr="00866FFA">
        <w:rPr>
          <w:lang w:val="en-US"/>
        </w:rPr>
        <w:t xml:space="preserve"> mandate</w:t>
      </w:r>
      <w:r w:rsidR="00F3419D" w:rsidRPr="00866FFA">
        <w:rPr>
          <w:lang w:val="en-US"/>
        </w:rPr>
        <w:t>s</w:t>
      </w:r>
      <w:r w:rsidR="00C246B9" w:rsidRPr="00866FFA">
        <w:rPr>
          <w:lang w:val="en-US"/>
        </w:rPr>
        <w:t xml:space="preserve">. Contracting Parties had different views on how long the consultation would take at national level and if ratification was needed for the Bonn Agreement </w:t>
      </w:r>
      <w:r w:rsidR="00C246B9" w:rsidRPr="00866FFA">
        <w:t xml:space="preserve">Strategic Action Plan. However it was underlined that as this was a deliverable for the Ministerial in 2019, it was important to have a document that Contracting Parties could share with their national authorities. A Contracting </w:t>
      </w:r>
      <w:r w:rsidR="00C246B9" w:rsidRPr="00866FFA">
        <w:rPr>
          <w:color w:val="000000" w:themeColor="text1"/>
        </w:rPr>
        <w:t xml:space="preserve">Party questioned the start date and duration of the BASAP. </w:t>
      </w:r>
    </w:p>
    <w:p w14:paraId="72199CD6" w14:textId="77777777" w:rsidR="0044542E" w:rsidRPr="00866FFA" w:rsidRDefault="00C246B9" w:rsidP="00866FFA">
      <w:pPr>
        <w:pStyle w:val="BodyText"/>
      </w:pPr>
      <w:r w:rsidRPr="00866FFA">
        <w:t>2.</w:t>
      </w:r>
      <w:r w:rsidR="00F3419D" w:rsidRPr="00866FFA">
        <w:t>14</w:t>
      </w:r>
      <w:r w:rsidRPr="00866FFA">
        <w:tab/>
        <w:t>In response</w:t>
      </w:r>
      <w:r w:rsidR="005418AA" w:rsidRPr="00866FFA">
        <w:t>,</w:t>
      </w:r>
      <w:r w:rsidRPr="00866FFA">
        <w:t xml:space="preserve"> the Secretariat informed that </w:t>
      </w:r>
      <w:r w:rsidR="0044542E" w:rsidRPr="00866FFA">
        <w:t xml:space="preserve">the intention was </w:t>
      </w:r>
      <w:r w:rsidRPr="00866FFA">
        <w:t xml:space="preserve">for the </w:t>
      </w:r>
      <w:r w:rsidR="0044542E" w:rsidRPr="00866FFA">
        <w:t xml:space="preserve">BASAP to take effect right after the Ministerial (as a deliverable), </w:t>
      </w:r>
      <w:r w:rsidR="005418AA" w:rsidRPr="00866FFA">
        <w:t xml:space="preserve">as </w:t>
      </w:r>
      <w:r w:rsidR="0044542E" w:rsidRPr="00866FFA">
        <w:t xml:space="preserve">the extended duration did not prevent any adaptations that might be </w:t>
      </w:r>
      <w:r w:rsidRPr="00866FFA">
        <w:t xml:space="preserve">deemed </w:t>
      </w:r>
      <w:r w:rsidR="0044542E" w:rsidRPr="00866FFA">
        <w:t xml:space="preserve">necessary and a review clause would be sufficient. </w:t>
      </w:r>
    </w:p>
    <w:p w14:paraId="5BA2AEE2" w14:textId="5E37FECF" w:rsidR="0044542E" w:rsidRPr="00866FFA" w:rsidRDefault="00C246B9" w:rsidP="00866FFA">
      <w:pPr>
        <w:pStyle w:val="BodyText"/>
      </w:pPr>
      <w:r w:rsidRPr="00866FFA">
        <w:t>2.</w:t>
      </w:r>
      <w:r w:rsidR="00041B4D">
        <w:t>15</w:t>
      </w:r>
      <w:r w:rsidR="00041B4D">
        <w:tab/>
      </w:r>
      <w:r w:rsidRPr="00866FFA">
        <w:rPr>
          <w:b/>
        </w:rPr>
        <w:t>BONN agreed</w:t>
      </w:r>
      <w:r w:rsidRPr="00866FFA">
        <w:t xml:space="preserve"> </w:t>
      </w:r>
      <w:r w:rsidR="00F3419D" w:rsidRPr="00866FFA">
        <w:t xml:space="preserve">that Contracting Parties should </w:t>
      </w:r>
      <w:r w:rsidRPr="00866FFA">
        <w:t xml:space="preserve">provide </w:t>
      </w:r>
      <w:r w:rsidR="00474CA1" w:rsidRPr="00866FFA">
        <w:t xml:space="preserve">comments to the Secretariat </w:t>
      </w:r>
      <w:r w:rsidR="0044542E" w:rsidRPr="00866FFA">
        <w:t>before 15 Oct</w:t>
      </w:r>
      <w:r w:rsidR="00474CA1" w:rsidRPr="00866FFA">
        <w:t xml:space="preserve">ober 2018, after which the Secretariat would send a </w:t>
      </w:r>
      <w:r w:rsidR="0044542E" w:rsidRPr="00866FFA">
        <w:t xml:space="preserve">revised version </w:t>
      </w:r>
      <w:r w:rsidR="00474CA1" w:rsidRPr="00866FFA">
        <w:t xml:space="preserve">to BONN HoD for </w:t>
      </w:r>
      <w:r w:rsidR="00F3419D" w:rsidRPr="00866FFA">
        <w:t xml:space="preserve">agreement in a </w:t>
      </w:r>
      <w:r w:rsidR="00474CA1" w:rsidRPr="00866FFA">
        <w:t xml:space="preserve">silent procedure with the deadline of </w:t>
      </w:r>
      <w:r w:rsidR="008A771E" w:rsidRPr="00866FFA">
        <w:t>29</w:t>
      </w:r>
      <w:r w:rsidR="00662619" w:rsidRPr="00866FFA">
        <w:t xml:space="preserve"> October 2018. The BASAP would</w:t>
      </w:r>
      <w:r w:rsidR="00F3419D" w:rsidRPr="00866FFA">
        <w:t>,</w:t>
      </w:r>
      <w:r w:rsidR="00662619" w:rsidRPr="00866FFA">
        <w:t xml:space="preserve"> after consultation between the Secretariat and the Chair of OTSOPA</w:t>
      </w:r>
      <w:r w:rsidR="00F3419D" w:rsidRPr="00866FFA">
        <w:t>,</w:t>
      </w:r>
      <w:r w:rsidR="00662619" w:rsidRPr="00866FFA">
        <w:t xml:space="preserve"> be </w:t>
      </w:r>
      <w:r w:rsidR="00F3419D" w:rsidRPr="00866FFA">
        <w:t xml:space="preserve">sent </w:t>
      </w:r>
      <w:r w:rsidR="00662619" w:rsidRPr="00866FFA">
        <w:t xml:space="preserve">to OTSOPA for </w:t>
      </w:r>
      <w:r w:rsidR="00061EF7" w:rsidRPr="00866FFA">
        <w:t xml:space="preserve">revision of its </w:t>
      </w:r>
      <w:r w:rsidR="00662619" w:rsidRPr="00866FFA">
        <w:t xml:space="preserve">technical </w:t>
      </w:r>
      <w:r w:rsidR="00061EF7" w:rsidRPr="00866FFA">
        <w:t>addendum</w:t>
      </w:r>
      <w:r w:rsidR="00662619" w:rsidRPr="00866FFA">
        <w:t xml:space="preserve">. </w:t>
      </w:r>
      <w:r w:rsidR="00061EF7" w:rsidRPr="00866FFA">
        <w:t xml:space="preserve">Following the revisions of the technical addendum by OTSOPA, </w:t>
      </w:r>
      <w:r w:rsidR="00662619" w:rsidRPr="00866FFA">
        <w:t xml:space="preserve">BONN HoD would </w:t>
      </w:r>
      <w:r w:rsidR="0044542E" w:rsidRPr="00866FFA">
        <w:t xml:space="preserve">adopt </w:t>
      </w:r>
      <w:r w:rsidR="00662619" w:rsidRPr="00866FFA">
        <w:t xml:space="preserve">the final </w:t>
      </w:r>
      <w:r w:rsidR="0044542E" w:rsidRPr="00866FFA">
        <w:t xml:space="preserve">BASAP in written </w:t>
      </w:r>
      <w:r w:rsidR="0044542E" w:rsidRPr="00866FFA">
        <w:lastRenderedPageBreak/>
        <w:t>procedure before the Ministerial</w:t>
      </w:r>
      <w:r w:rsidR="00662619" w:rsidRPr="00866FFA">
        <w:t xml:space="preserve"> 2019</w:t>
      </w:r>
      <w:r w:rsidR="0044542E" w:rsidRPr="00866FFA">
        <w:t xml:space="preserve">. </w:t>
      </w:r>
      <w:r w:rsidR="00662619" w:rsidRPr="00866FFA">
        <w:t xml:space="preserve">It was noted by the Secretariat that the strategic part of the BASAP could be used for national consultation after adoption by BONN HoD </w:t>
      </w:r>
      <w:r w:rsidR="008A771E" w:rsidRPr="00866FFA">
        <w:t>November 5</w:t>
      </w:r>
      <w:r w:rsidR="00662619" w:rsidRPr="00866FFA">
        <w:t>, 2018.</w:t>
      </w:r>
    </w:p>
    <w:p w14:paraId="0B1BF8BC" w14:textId="77777777" w:rsidR="00C42D56" w:rsidRPr="00866FFA" w:rsidRDefault="00623B3A" w:rsidP="00866FFA">
      <w:pPr>
        <w:pStyle w:val="BodyText"/>
      </w:pPr>
      <w:r w:rsidRPr="00866FFA">
        <w:t>ToR for COWI on the “Trend analysis of oil spill risks in the Bonn Agreement Area and adjacent regions 2030”</w:t>
      </w:r>
    </w:p>
    <w:p w14:paraId="4B21F599" w14:textId="77777777" w:rsidR="00623B3A" w:rsidRPr="00866FFA" w:rsidRDefault="00CE3482" w:rsidP="00866FFA">
      <w:pPr>
        <w:pStyle w:val="BodyText"/>
      </w:pPr>
      <w:r w:rsidRPr="00866FFA">
        <w:t>2.</w:t>
      </w:r>
      <w:r w:rsidR="00F3419D" w:rsidRPr="00866FFA">
        <w:t xml:space="preserve">16 </w:t>
      </w:r>
      <w:r w:rsidR="003E637B" w:rsidRPr="00866FFA">
        <w:tab/>
      </w:r>
      <w:r w:rsidRPr="00866FFA">
        <w:t xml:space="preserve">The Netherlands presented the draft Terms of References </w:t>
      </w:r>
      <w:r w:rsidR="00623B3A" w:rsidRPr="00866FFA">
        <w:t xml:space="preserve">for COWI on the ´Trend analysis of oil spill risks in the Bonn Agreement Area and adjacent regions 2030’. </w:t>
      </w:r>
    </w:p>
    <w:p w14:paraId="70D7DC59" w14:textId="77777777" w:rsidR="00623B3A" w:rsidRPr="00866FFA" w:rsidRDefault="00623B3A" w:rsidP="00866FFA">
      <w:pPr>
        <w:pStyle w:val="BodyText"/>
      </w:pPr>
      <w:r w:rsidRPr="00866FFA">
        <w:t>2.</w:t>
      </w:r>
      <w:r w:rsidR="00382C8E" w:rsidRPr="00866FFA">
        <w:t>17</w:t>
      </w:r>
      <w:r w:rsidRPr="00866FFA">
        <w:tab/>
      </w:r>
      <w:r w:rsidR="005418AA" w:rsidRPr="00866FFA">
        <w:t>A</w:t>
      </w:r>
      <w:r w:rsidR="00EE51DE" w:rsidRPr="00866FFA">
        <w:rPr>
          <w:lang w:val="en-US"/>
        </w:rPr>
        <w:t xml:space="preserve"> tour de table was initiated by the Chair; </w:t>
      </w:r>
      <w:r w:rsidRPr="00866FFA">
        <w:rPr>
          <w:lang w:val="en-US"/>
        </w:rPr>
        <w:t xml:space="preserve">Contracting Parties </w:t>
      </w:r>
      <w:r w:rsidR="00EE51DE" w:rsidRPr="00866FFA">
        <w:rPr>
          <w:lang w:val="en-US"/>
        </w:rPr>
        <w:t xml:space="preserve">noted </w:t>
      </w:r>
      <w:r w:rsidRPr="00866FFA">
        <w:rPr>
          <w:lang w:val="en-US"/>
        </w:rPr>
        <w:t xml:space="preserve">that </w:t>
      </w:r>
      <w:r w:rsidR="00EE51DE" w:rsidRPr="00866FFA">
        <w:rPr>
          <w:lang w:val="en-US"/>
        </w:rPr>
        <w:t>BE-AWAR</w:t>
      </w:r>
      <w:r w:rsidR="00037365" w:rsidRPr="00866FFA">
        <w:rPr>
          <w:lang w:val="en-US"/>
        </w:rPr>
        <w:t>E</w:t>
      </w:r>
      <w:r w:rsidR="00EE51DE" w:rsidRPr="00866FFA">
        <w:rPr>
          <w:lang w:val="en-US"/>
        </w:rPr>
        <w:t xml:space="preserve"> had been a very successful project and the results had been used nationally. T</w:t>
      </w:r>
      <w:r w:rsidRPr="00866FFA">
        <w:rPr>
          <w:lang w:val="en-US"/>
        </w:rPr>
        <w:t xml:space="preserve">here </w:t>
      </w:r>
      <w:r w:rsidR="00EE51DE" w:rsidRPr="00866FFA">
        <w:rPr>
          <w:lang w:val="en-US"/>
        </w:rPr>
        <w:t xml:space="preserve">was a need for the trend analysis 2030 to </w:t>
      </w:r>
      <w:r w:rsidRPr="00866FFA">
        <w:rPr>
          <w:lang w:val="en-US"/>
        </w:rPr>
        <w:t>focus on the BE-AWARE original area and not expand it unnecessar</w:t>
      </w:r>
      <w:r w:rsidR="003418C4" w:rsidRPr="00866FFA">
        <w:rPr>
          <w:lang w:val="en-US"/>
        </w:rPr>
        <w:t>il</w:t>
      </w:r>
      <w:r w:rsidRPr="00866FFA">
        <w:rPr>
          <w:lang w:val="en-US"/>
        </w:rPr>
        <w:t xml:space="preserve">y, however it was noted </w:t>
      </w:r>
      <w:r w:rsidR="005418AA" w:rsidRPr="00866FFA">
        <w:rPr>
          <w:lang w:val="en-US"/>
        </w:rPr>
        <w:t xml:space="preserve">that </w:t>
      </w:r>
      <w:r w:rsidRPr="00866FFA">
        <w:rPr>
          <w:lang w:val="en-US"/>
        </w:rPr>
        <w:t xml:space="preserve">with the possible accession of Spain that the Bay of Biscay could be a new area to include in the trend analysis. It was further noted that </w:t>
      </w:r>
      <w:r w:rsidR="0044542E" w:rsidRPr="00866FFA">
        <w:rPr>
          <w:lang w:val="en-US"/>
        </w:rPr>
        <w:t xml:space="preserve">the activities should be reduced, as they had not previously been included in the BE-AWARE project, </w:t>
      </w:r>
      <w:r w:rsidRPr="00866FFA">
        <w:rPr>
          <w:lang w:val="en-US"/>
        </w:rPr>
        <w:t>a</w:t>
      </w:r>
      <w:r w:rsidR="00EE51DE" w:rsidRPr="00866FFA">
        <w:rPr>
          <w:lang w:val="en-US"/>
        </w:rPr>
        <w:t>nd there was a need to prioritis</w:t>
      </w:r>
      <w:r w:rsidRPr="00866FFA">
        <w:rPr>
          <w:lang w:val="en-US"/>
        </w:rPr>
        <w:t xml:space="preserve">e the activities to reduce the cost without compromising the quality of the project. </w:t>
      </w:r>
    </w:p>
    <w:p w14:paraId="242D4682" w14:textId="77777777" w:rsidR="00CE3482" w:rsidRPr="00866FFA" w:rsidRDefault="00CE3482" w:rsidP="00866FFA">
      <w:r w:rsidRPr="00866FFA">
        <w:t>2.</w:t>
      </w:r>
      <w:r w:rsidR="003418C4" w:rsidRPr="00866FFA">
        <w:t>18</w:t>
      </w:r>
      <w:r w:rsidRPr="00866FFA">
        <w:tab/>
      </w:r>
      <w:r w:rsidRPr="006E4610">
        <w:rPr>
          <w:b/>
        </w:rPr>
        <w:t>BONN</w:t>
      </w:r>
      <w:r w:rsidRPr="00866FFA">
        <w:t xml:space="preserve"> </w:t>
      </w:r>
      <w:r w:rsidRPr="00866FFA">
        <w:rPr>
          <w:b/>
        </w:rPr>
        <w:t>agreed</w:t>
      </w:r>
      <w:r w:rsidRPr="00866FFA">
        <w:t xml:space="preserve"> the Netherlands would revise the ToR for the Trend analysis for BE-AWARE– 2030 with the mandate to reduce the cost of the project to </w:t>
      </w:r>
      <w:r w:rsidR="00623B3A" w:rsidRPr="00866FFA">
        <w:t xml:space="preserve">approximately </w:t>
      </w:r>
      <w:r w:rsidR="00953600" w:rsidRPr="00866FFA">
        <w:t>90</w:t>
      </w:r>
      <w:r w:rsidR="004A3400" w:rsidRPr="00866FFA">
        <w:t xml:space="preserve"> </w:t>
      </w:r>
      <w:r w:rsidR="00953600" w:rsidRPr="00866FFA">
        <w:t xml:space="preserve">000 euros. It was </w:t>
      </w:r>
      <w:r w:rsidR="00953600" w:rsidRPr="006E4610">
        <w:rPr>
          <w:b/>
        </w:rPr>
        <w:t>agreed</w:t>
      </w:r>
      <w:r w:rsidR="00953600" w:rsidRPr="00866FFA">
        <w:t xml:space="preserve"> that a revised ToR for the trend analysis would be send to BONN HoD after negotiations with COWI</w:t>
      </w:r>
      <w:r w:rsidR="00820E1E" w:rsidRPr="00866FFA">
        <w:t>, October 5, 2018</w:t>
      </w:r>
      <w:r w:rsidR="00953600" w:rsidRPr="00866FFA">
        <w:t>.</w:t>
      </w:r>
    </w:p>
    <w:p w14:paraId="77F6AC96" w14:textId="77777777" w:rsidR="0044542E" w:rsidRPr="00866FFA" w:rsidRDefault="0044542E" w:rsidP="00866FFA">
      <w:pPr>
        <w:rPr>
          <w:i/>
        </w:rPr>
      </w:pPr>
      <w:r w:rsidRPr="00866FFA">
        <w:rPr>
          <w:i/>
        </w:rPr>
        <w:t>Accession of Spain</w:t>
      </w:r>
    </w:p>
    <w:p w14:paraId="4D47DBA5" w14:textId="26F69707" w:rsidR="00661E71" w:rsidRPr="00866FFA" w:rsidRDefault="00661E71" w:rsidP="00866FFA">
      <w:r w:rsidRPr="00866FFA">
        <w:t>2.</w:t>
      </w:r>
      <w:r w:rsidR="003418C4" w:rsidRPr="00866FFA">
        <w:t>19</w:t>
      </w:r>
      <w:r w:rsidR="00A601FA" w:rsidRPr="00866FFA">
        <w:tab/>
      </w:r>
      <w:r w:rsidRPr="00866FFA">
        <w:t xml:space="preserve">Spain presented BONN 18/2/8 </w:t>
      </w:r>
      <w:r w:rsidR="00F446A0" w:rsidRPr="00866FFA">
        <w:t xml:space="preserve">and Bonn 18/02/P01 </w:t>
      </w:r>
      <w:r w:rsidR="003418C4" w:rsidRPr="00866FFA">
        <w:t xml:space="preserve">on </w:t>
      </w:r>
      <w:r w:rsidRPr="00866FFA">
        <w:t xml:space="preserve">their wish to become Contracting Party to the Bonn Agreement, highlighting their full engagement and participation with the Bonn Agreement policies and decisions to ensure better preparedness, and response in a larger area than the existing Bonn </w:t>
      </w:r>
      <w:r w:rsidR="003418C4" w:rsidRPr="00866FFA">
        <w:t xml:space="preserve">Agreement </w:t>
      </w:r>
      <w:r w:rsidRPr="00866FFA">
        <w:t>area, including Bay of Biscay. However</w:t>
      </w:r>
      <w:r w:rsidR="005418AA" w:rsidRPr="00866FFA">
        <w:t>,</w:t>
      </w:r>
      <w:r w:rsidRPr="00866FFA">
        <w:t xml:space="preserve"> it was recognised that the proposed area needed acceptance and cooperation with France, as the idea was to connect the Bay of Biscay to the rest of </w:t>
      </w:r>
      <w:r w:rsidR="003418C4" w:rsidRPr="00866FFA">
        <w:t xml:space="preserve">the </w:t>
      </w:r>
      <w:r w:rsidRPr="00866FFA">
        <w:t>Bonn Agreement Area.</w:t>
      </w:r>
    </w:p>
    <w:p w14:paraId="58C22B2C" w14:textId="42C5AAB2" w:rsidR="00661E71" w:rsidRPr="00866FFA" w:rsidRDefault="00661E71" w:rsidP="00866FFA">
      <w:pPr>
        <w:rPr>
          <w:lang w:val="en-US"/>
        </w:rPr>
      </w:pPr>
      <w:r w:rsidRPr="00866FFA">
        <w:t>2.</w:t>
      </w:r>
      <w:r w:rsidR="003418C4" w:rsidRPr="00866FFA">
        <w:t>20</w:t>
      </w:r>
      <w:r w:rsidRPr="00866FFA">
        <w:tab/>
      </w:r>
      <w:r w:rsidR="005418AA" w:rsidRPr="00866FFA">
        <w:t>A</w:t>
      </w:r>
      <w:r w:rsidRPr="00866FFA">
        <w:rPr>
          <w:lang w:val="en-US"/>
        </w:rPr>
        <w:t xml:space="preserve"> tour de table was initiated by the </w:t>
      </w:r>
      <w:r w:rsidR="00613C5A" w:rsidRPr="00866FFA">
        <w:rPr>
          <w:lang w:val="en-US"/>
        </w:rPr>
        <w:t xml:space="preserve">Chair; Contracting Parties supported the accession of Spain, and highlighted that the inclusion of Bay of Biscay would improve the set-up of the Agreement, and that the Spanish work and expertise would indeed </w:t>
      </w:r>
      <w:r w:rsidR="005418AA" w:rsidRPr="00866FFA">
        <w:rPr>
          <w:lang w:val="en-US"/>
        </w:rPr>
        <w:t xml:space="preserve">be </w:t>
      </w:r>
      <w:r w:rsidR="00613C5A" w:rsidRPr="00866FFA">
        <w:rPr>
          <w:lang w:val="en-US"/>
        </w:rPr>
        <w:t xml:space="preserve">of great benefit for the Bonn Agreement, and its Contracting Parties. A Contracting Party asked if contact had been made to the Lisbon Agreement, and Spain referred to the legal advice from the barrister, that there would be no legal impediment for Spain to be party to both Agreements, and noted that presently the Lisbon Agreement was not active. </w:t>
      </w:r>
      <w:r w:rsidR="00BF7572">
        <w:rPr>
          <w:lang w:val="en-US"/>
        </w:rPr>
        <w:t xml:space="preserve">Ireland supported the accession of Spain but noted that the revised text would have to be put to Cabinet prior to official agreement. </w:t>
      </w:r>
      <w:r w:rsidR="00613C5A" w:rsidRPr="00866FFA">
        <w:rPr>
          <w:lang w:val="en-US"/>
        </w:rPr>
        <w:t xml:space="preserve">France welcomed Spain and noted there </w:t>
      </w:r>
      <w:r w:rsidR="001F7CDC" w:rsidRPr="00866FFA">
        <w:rPr>
          <w:lang w:val="en-US"/>
        </w:rPr>
        <w:t xml:space="preserve">is </w:t>
      </w:r>
      <w:r w:rsidR="00613C5A" w:rsidRPr="00866FFA">
        <w:rPr>
          <w:lang w:val="en-US"/>
        </w:rPr>
        <w:t>a need for bilateral negotiations between Spain and France to agree on the boundaries and zone line of responsibility.</w:t>
      </w:r>
    </w:p>
    <w:p w14:paraId="2BFF15D8" w14:textId="1AA8EDCC" w:rsidR="001E0248" w:rsidRPr="00866FFA" w:rsidRDefault="00613C5A" w:rsidP="00866FFA">
      <w:pPr>
        <w:rPr>
          <w:lang w:val="en-US"/>
        </w:rPr>
      </w:pPr>
      <w:r w:rsidRPr="00866FFA">
        <w:rPr>
          <w:lang w:val="en-US"/>
        </w:rPr>
        <w:t>2.</w:t>
      </w:r>
      <w:r w:rsidR="003418C4" w:rsidRPr="00866FFA">
        <w:rPr>
          <w:lang w:val="en-US"/>
        </w:rPr>
        <w:t>21</w:t>
      </w:r>
      <w:r w:rsidRPr="00866FFA">
        <w:rPr>
          <w:lang w:val="en-US"/>
        </w:rPr>
        <w:tab/>
        <w:t>Further in discussion</w:t>
      </w:r>
      <w:r w:rsidR="00E917D3" w:rsidRPr="00866FFA">
        <w:rPr>
          <w:lang w:val="en-US"/>
        </w:rPr>
        <w:t>,</w:t>
      </w:r>
      <w:r w:rsidRPr="00866FFA">
        <w:rPr>
          <w:lang w:val="en-US"/>
        </w:rPr>
        <w:t xml:space="preserve"> Germany, as the depository</w:t>
      </w:r>
      <w:r w:rsidR="00E917D3" w:rsidRPr="00866FFA">
        <w:rPr>
          <w:lang w:val="en-US"/>
        </w:rPr>
        <w:t>,</w:t>
      </w:r>
      <w:r w:rsidRPr="00866FFA">
        <w:rPr>
          <w:lang w:val="en-US"/>
        </w:rPr>
        <w:t xml:space="preserve"> </w:t>
      </w:r>
      <w:r w:rsidR="00A6093A" w:rsidRPr="00866FFA">
        <w:rPr>
          <w:lang w:val="en-US"/>
        </w:rPr>
        <w:t xml:space="preserve">presented BONN 18/2/11 on two alternative legal procedures for the accession of Spain, and </w:t>
      </w:r>
      <w:r w:rsidRPr="00866FFA">
        <w:rPr>
          <w:lang w:val="en-US"/>
        </w:rPr>
        <w:t xml:space="preserve">noted that the zone of responsibility in regards to amending the Agreement was a major exercise. </w:t>
      </w:r>
      <w:r w:rsidR="00A6093A" w:rsidRPr="00866FFA">
        <w:rPr>
          <w:lang w:val="en-US"/>
        </w:rPr>
        <w:t xml:space="preserve">Germany advised that </w:t>
      </w:r>
      <w:r w:rsidR="003418C4" w:rsidRPr="00866FFA">
        <w:rPr>
          <w:lang w:val="en-US"/>
        </w:rPr>
        <w:t xml:space="preserve">one </w:t>
      </w:r>
      <w:r w:rsidR="00A6093A" w:rsidRPr="00866FFA">
        <w:rPr>
          <w:lang w:val="en-US"/>
        </w:rPr>
        <w:t xml:space="preserve">option </w:t>
      </w:r>
      <w:r w:rsidRPr="00866FFA">
        <w:rPr>
          <w:lang w:val="en-US"/>
        </w:rPr>
        <w:t>was for the Ministerial to officially invite Spain</w:t>
      </w:r>
      <w:r w:rsidR="00CD390E" w:rsidRPr="00866FFA">
        <w:rPr>
          <w:lang w:val="en-US"/>
        </w:rPr>
        <w:t xml:space="preserve"> only</w:t>
      </w:r>
      <w:r w:rsidRPr="00866FFA">
        <w:rPr>
          <w:lang w:val="en-US"/>
        </w:rPr>
        <w:t>, and another was for the Ministerial to adopt the revised Agreement text.</w:t>
      </w:r>
    </w:p>
    <w:p w14:paraId="73F5D7A8" w14:textId="77777777" w:rsidR="00FA47EF" w:rsidRPr="00866FFA" w:rsidRDefault="00613C5A" w:rsidP="00866FFA">
      <w:r w:rsidRPr="00866FFA">
        <w:t>2.</w:t>
      </w:r>
      <w:r w:rsidR="003418C4" w:rsidRPr="00866FFA">
        <w:t>22</w:t>
      </w:r>
      <w:r w:rsidRPr="00866FFA">
        <w:tab/>
      </w:r>
      <w:r w:rsidR="00FA47EF" w:rsidRPr="00866FFA">
        <w:t>The Chair concluded that Contracting Parties had great respect for the Spanish contribution to the Agreement and supported the accession of Spain. However a timetable was needed for the accession of Spain.</w:t>
      </w:r>
    </w:p>
    <w:p w14:paraId="395F4038" w14:textId="4C838606" w:rsidR="00613C5A" w:rsidRPr="00866FFA" w:rsidRDefault="00FA47EF" w:rsidP="00866FFA">
      <w:pPr>
        <w:rPr>
          <w:color w:val="000000" w:themeColor="text1"/>
        </w:rPr>
      </w:pPr>
      <w:r w:rsidRPr="00866FFA">
        <w:t>2.</w:t>
      </w:r>
      <w:r w:rsidR="003418C4" w:rsidRPr="00866FFA">
        <w:t>23</w:t>
      </w:r>
      <w:r w:rsidRPr="00866FFA">
        <w:tab/>
      </w:r>
      <w:r w:rsidRPr="006E4610">
        <w:rPr>
          <w:b/>
        </w:rPr>
        <w:t>BONN</w:t>
      </w:r>
      <w:r w:rsidRPr="00866FFA">
        <w:t xml:space="preserve"> </w:t>
      </w:r>
      <w:r w:rsidRPr="00866FFA">
        <w:rPr>
          <w:b/>
        </w:rPr>
        <w:t>agreed</w:t>
      </w:r>
      <w:r w:rsidRPr="00866FFA">
        <w:t xml:space="preserve"> to move forward with the accession of Spain, and requested the Secretariat to draft a formal invitation to Spain</w:t>
      </w:r>
      <w:r w:rsidR="00D157CD" w:rsidRPr="00866FFA">
        <w:t>.</w:t>
      </w:r>
      <w:r w:rsidRPr="00866FFA">
        <w:t xml:space="preserve"> </w:t>
      </w:r>
      <w:r w:rsidR="00D157CD" w:rsidRPr="00866FFA">
        <w:t>The Secretaritat will work closely with Germany</w:t>
      </w:r>
      <w:r w:rsidRPr="00866FFA">
        <w:t xml:space="preserve"> as depository of the Agreement </w:t>
      </w:r>
      <w:r w:rsidRPr="00866FFA">
        <w:lastRenderedPageBreak/>
        <w:t>to amend the Agreement text accordingly. The Secretariat was further requested to develop a timetable for the accession.</w:t>
      </w:r>
      <w:r w:rsidR="00A6093A" w:rsidRPr="00866FFA">
        <w:t xml:space="preserve"> It was further noted that the extraordinary BONN HoD 20 February 2019</w:t>
      </w:r>
      <w:r w:rsidR="00D157CD" w:rsidRPr="00866FFA">
        <w:t xml:space="preserve"> would agree the revised text in Article II and Annex 1</w:t>
      </w:r>
      <w:r w:rsidR="00240A02" w:rsidRPr="00866FFA">
        <w:rPr>
          <w:rStyle w:val="FootnoteReference"/>
        </w:rPr>
        <w:footnoteReference w:id="3"/>
      </w:r>
      <w:r w:rsidR="00240A02" w:rsidRPr="00866FFA">
        <w:t>.</w:t>
      </w:r>
    </w:p>
    <w:p w14:paraId="162F654F" w14:textId="77777777" w:rsidR="00A6093A" w:rsidRPr="00866FFA" w:rsidRDefault="00A6093A" w:rsidP="00866FFA">
      <w:pPr>
        <w:rPr>
          <w:i/>
          <w:noProof/>
          <w:lang w:val="en-US"/>
        </w:rPr>
      </w:pPr>
      <w:r w:rsidRPr="00866FFA">
        <w:rPr>
          <w:i/>
        </w:rPr>
        <w:t>D</w:t>
      </w:r>
      <w:r w:rsidR="002D3383" w:rsidRPr="00866FFA">
        <w:rPr>
          <w:i/>
          <w:noProof/>
          <w:lang w:val="en-US"/>
        </w:rPr>
        <w:t xml:space="preserve">eliverables </w:t>
      </w:r>
      <w:r w:rsidR="009D4756" w:rsidRPr="00866FFA">
        <w:rPr>
          <w:i/>
          <w:noProof/>
          <w:lang w:val="en-US"/>
        </w:rPr>
        <w:t xml:space="preserve">for the Ministerial in 2019 </w:t>
      </w:r>
    </w:p>
    <w:p w14:paraId="334E4DAF" w14:textId="6CB96AA5" w:rsidR="009D4756" w:rsidRPr="00866FFA" w:rsidRDefault="00A6093A" w:rsidP="00866FFA">
      <w:r w:rsidRPr="00866FFA">
        <w:rPr>
          <w:noProof/>
          <w:lang w:val="en-US"/>
        </w:rPr>
        <w:t>2.</w:t>
      </w:r>
      <w:r w:rsidR="00176FD0" w:rsidRPr="00866FFA">
        <w:rPr>
          <w:noProof/>
          <w:lang w:val="en-US"/>
        </w:rPr>
        <w:t>24</w:t>
      </w:r>
      <w:r w:rsidRPr="00866FFA">
        <w:rPr>
          <w:noProof/>
          <w:lang w:val="en-US"/>
        </w:rPr>
        <w:tab/>
        <w:t xml:space="preserve">The Secretariat presented </w:t>
      </w:r>
      <w:r w:rsidR="009D4756" w:rsidRPr="00866FFA">
        <w:t>BONN 1</w:t>
      </w:r>
      <w:r w:rsidR="002D3383" w:rsidRPr="00866FFA">
        <w:t>8</w:t>
      </w:r>
      <w:r w:rsidR="00DF449F" w:rsidRPr="00866FFA">
        <w:t>/2/</w:t>
      </w:r>
      <w:r w:rsidR="00115972" w:rsidRPr="00866FFA">
        <w:t>6</w:t>
      </w:r>
      <w:r w:rsidR="00FB2879" w:rsidRPr="00866FFA">
        <w:t>, BONN 18/2/6.add.1</w:t>
      </w:r>
      <w:r w:rsidRPr="00866FFA">
        <w:t>, the revised ToR for the ICG-Ministerial 2019 and the draft invitation letter.</w:t>
      </w:r>
      <w:r w:rsidR="00DB5B3B" w:rsidRPr="00866FFA">
        <w:t xml:space="preserve"> It was further proposed from the Secretariat that a workshop on MARPOL Annex VI</w:t>
      </w:r>
      <w:r w:rsidR="00A9188A" w:rsidRPr="00866FFA">
        <w:t xml:space="preserve"> in cooperation with IMO, </w:t>
      </w:r>
      <w:r w:rsidR="00DB5B3B" w:rsidRPr="00866FFA">
        <w:t xml:space="preserve">could take place the day before BONN </w:t>
      </w:r>
      <w:r w:rsidR="00176FD0" w:rsidRPr="00866FFA">
        <w:t>20</w:t>
      </w:r>
      <w:r w:rsidR="00DB5B3B" w:rsidRPr="00866FFA">
        <w:t>19 and prior to the Ministerial 2019.</w:t>
      </w:r>
    </w:p>
    <w:p w14:paraId="5E06FF13" w14:textId="77777777" w:rsidR="00A9188A" w:rsidRPr="00866FFA" w:rsidRDefault="00A6093A" w:rsidP="00866FFA">
      <w:r w:rsidRPr="00866FFA">
        <w:t>2.</w:t>
      </w:r>
      <w:r w:rsidR="00176FD0" w:rsidRPr="00866FFA">
        <w:t>25</w:t>
      </w:r>
      <w:r w:rsidRPr="00866FFA">
        <w:tab/>
      </w:r>
      <w:r w:rsidR="00E917D3" w:rsidRPr="00866FFA">
        <w:t>A</w:t>
      </w:r>
      <w:r w:rsidRPr="00866FFA">
        <w:rPr>
          <w:lang w:val="en-US"/>
        </w:rPr>
        <w:t xml:space="preserve"> tour de table was initiated by the Chair; Contracting Parties supported the plan and timeline</w:t>
      </w:r>
      <w:r w:rsidR="00DB5B3B" w:rsidRPr="00866FFA">
        <w:rPr>
          <w:lang w:val="en-US"/>
        </w:rPr>
        <w:t xml:space="preserve">, including an </w:t>
      </w:r>
      <w:r w:rsidR="00DB5B3B" w:rsidRPr="00866FFA">
        <w:t xml:space="preserve">extraordinary </w:t>
      </w:r>
      <w:r w:rsidR="004D5C60" w:rsidRPr="00866FFA">
        <w:t xml:space="preserve">Bonn </w:t>
      </w:r>
      <w:r w:rsidR="00DB5B3B" w:rsidRPr="00866FFA">
        <w:t>HoD, 20 February 2019</w:t>
      </w:r>
      <w:r w:rsidRPr="00866FFA">
        <w:rPr>
          <w:lang w:val="en-US"/>
        </w:rPr>
        <w:t xml:space="preserve">. </w:t>
      </w:r>
      <w:r w:rsidR="00DB5B3B" w:rsidRPr="00866FFA">
        <w:rPr>
          <w:lang w:val="en-US"/>
        </w:rPr>
        <w:t xml:space="preserve">Germany </w:t>
      </w:r>
      <w:r w:rsidR="00C86E31" w:rsidRPr="00866FFA">
        <w:t xml:space="preserve">supported deliverables, </w:t>
      </w:r>
      <w:r w:rsidR="00DB5B3B" w:rsidRPr="00866FFA">
        <w:t>however noted</w:t>
      </w:r>
      <w:r w:rsidR="00E917D3" w:rsidRPr="00866FFA">
        <w:t>,</w:t>
      </w:r>
      <w:r w:rsidR="00DB5B3B" w:rsidRPr="00866FFA">
        <w:t xml:space="preserve"> as host of the Ministe</w:t>
      </w:r>
      <w:r w:rsidR="00A9188A" w:rsidRPr="00866FFA">
        <w:t>rial 2019, it would be their</w:t>
      </w:r>
      <w:r w:rsidR="00DB5B3B" w:rsidRPr="00866FFA">
        <w:t xml:space="preserve"> pr</w:t>
      </w:r>
      <w:r w:rsidR="00A9188A" w:rsidRPr="00866FFA">
        <w:t xml:space="preserve">erogative </w:t>
      </w:r>
      <w:r w:rsidR="00C86E31" w:rsidRPr="00866FFA">
        <w:t xml:space="preserve">to adapt </w:t>
      </w:r>
      <w:r w:rsidR="00DB5B3B" w:rsidRPr="00866FFA">
        <w:t xml:space="preserve">the invitation according with the </w:t>
      </w:r>
      <w:r w:rsidR="00A9188A" w:rsidRPr="00866FFA">
        <w:t xml:space="preserve">need of the German Minister. </w:t>
      </w:r>
    </w:p>
    <w:p w14:paraId="4D746733" w14:textId="77777777" w:rsidR="007819E1" w:rsidRPr="00866FFA" w:rsidRDefault="00A9188A" w:rsidP="00866FFA">
      <w:r w:rsidRPr="00866FFA">
        <w:t>2.</w:t>
      </w:r>
      <w:r w:rsidR="00176FD0" w:rsidRPr="00866FFA">
        <w:t>26</w:t>
      </w:r>
      <w:r w:rsidRPr="00866FFA">
        <w:tab/>
      </w:r>
      <w:r w:rsidRPr="00866FFA">
        <w:rPr>
          <w:b/>
        </w:rPr>
        <w:t>BONN agreed</w:t>
      </w:r>
      <w:r w:rsidRPr="00866FFA">
        <w:t xml:space="preserve"> on the revised ToR for the ICG-Ministerial 2019</w:t>
      </w:r>
      <w:r w:rsidR="00820E1E" w:rsidRPr="00866FFA">
        <w:t xml:space="preserve">, see </w:t>
      </w:r>
      <w:r w:rsidR="00820E1E" w:rsidRPr="00866FFA">
        <w:rPr>
          <w:b/>
        </w:rPr>
        <w:t>Annex 7</w:t>
      </w:r>
      <w:r w:rsidRPr="00866FFA">
        <w:t xml:space="preserve"> and the proposed MARPOL Annex VI workshop.</w:t>
      </w:r>
    </w:p>
    <w:p w14:paraId="05A7ED91" w14:textId="77777777" w:rsidR="00E6434A" w:rsidRPr="00866FFA" w:rsidRDefault="00A9188A" w:rsidP="00866FFA">
      <w:pPr>
        <w:rPr>
          <w:i/>
        </w:rPr>
      </w:pPr>
      <w:r w:rsidRPr="00866FFA">
        <w:rPr>
          <w:i/>
        </w:rPr>
        <w:t>C</w:t>
      </w:r>
      <w:r w:rsidR="002777CA" w:rsidRPr="00866FFA">
        <w:rPr>
          <w:i/>
          <w:noProof/>
          <w:lang w:val="en-US"/>
        </w:rPr>
        <w:t xml:space="preserve">ommunication deliverables for the Ministerial in 2019 </w:t>
      </w:r>
    </w:p>
    <w:p w14:paraId="16518595" w14:textId="77777777" w:rsidR="00A9188A" w:rsidRPr="00866FFA" w:rsidRDefault="006F2C64" w:rsidP="00866FFA">
      <w:r w:rsidRPr="00866FFA">
        <w:t>2.</w:t>
      </w:r>
      <w:r w:rsidR="00176FD0" w:rsidRPr="00866FFA">
        <w:t>27</w:t>
      </w:r>
      <w:r w:rsidRPr="00866FFA">
        <w:t xml:space="preserve"> </w:t>
      </w:r>
      <w:r w:rsidR="00176FD0" w:rsidRPr="00866FFA">
        <w:tab/>
      </w:r>
      <w:r w:rsidRPr="00866FFA">
        <w:t>The Secretariat presented B</w:t>
      </w:r>
      <w:r w:rsidR="00176FD0" w:rsidRPr="00866FFA">
        <w:t>ONN</w:t>
      </w:r>
      <w:r w:rsidRPr="00866FFA">
        <w:t xml:space="preserve"> 18/2/7</w:t>
      </w:r>
      <w:r w:rsidR="00736D5C" w:rsidRPr="00866FFA">
        <w:t xml:space="preserve"> outlining the communication strategy for the Ministerial in 2019. The Bonn Agreement Website will be revised, a presentation to be made during the Ministerial will be professionally designed and a ’50 years of Bonn’ brochure </w:t>
      </w:r>
      <w:r w:rsidR="00176FD0" w:rsidRPr="00866FFA">
        <w:t>will</w:t>
      </w:r>
      <w:r w:rsidR="00736D5C" w:rsidRPr="00866FFA">
        <w:t xml:space="preserve"> be produced (B</w:t>
      </w:r>
      <w:r w:rsidR="00176FD0" w:rsidRPr="00866FFA">
        <w:t>ONN</w:t>
      </w:r>
      <w:r w:rsidR="00736D5C" w:rsidRPr="00866FFA">
        <w:t xml:space="preserve"> 18/2/7 Add.1). During the lead</w:t>
      </w:r>
      <w:r w:rsidR="00E917D3" w:rsidRPr="00866FFA">
        <w:t xml:space="preserve"> </w:t>
      </w:r>
      <w:r w:rsidR="00736D5C" w:rsidRPr="00866FFA">
        <w:t>up to the Ministerial Meeting</w:t>
      </w:r>
      <w:r w:rsidR="00E917D3" w:rsidRPr="00866FFA">
        <w:t>,</w:t>
      </w:r>
      <w:r w:rsidR="00736D5C" w:rsidRPr="00866FFA">
        <w:t xml:space="preserve"> 50 facts about </w:t>
      </w:r>
      <w:r w:rsidR="004D5C60" w:rsidRPr="00866FFA">
        <w:t xml:space="preserve">the </w:t>
      </w:r>
      <w:r w:rsidR="00736D5C" w:rsidRPr="00866FFA">
        <w:t xml:space="preserve">Bonn </w:t>
      </w:r>
      <w:r w:rsidR="004D5C60" w:rsidRPr="00866FFA">
        <w:t xml:space="preserve">Agreement </w:t>
      </w:r>
      <w:r w:rsidR="00736D5C" w:rsidRPr="00866FFA">
        <w:t>will be Tweeted (B</w:t>
      </w:r>
      <w:r w:rsidR="00176FD0" w:rsidRPr="00866FFA">
        <w:t>ONN</w:t>
      </w:r>
      <w:r w:rsidR="00736D5C" w:rsidRPr="00866FFA">
        <w:t xml:space="preserve"> 18/2/7 Add.2). Three versions of a new logo were presented to the Contracting Parties.</w:t>
      </w:r>
    </w:p>
    <w:p w14:paraId="507E578E" w14:textId="77777777" w:rsidR="00736D5C" w:rsidRPr="00866FFA" w:rsidRDefault="00736D5C" w:rsidP="00866FFA">
      <w:r w:rsidRPr="00866FFA">
        <w:t>2.</w:t>
      </w:r>
      <w:r w:rsidR="00176FD0" w:rsidRPr="00866FFA">
        <w:t>28</w:t>
      </w:r>
      <w:r w:rsidRPr="00866FFA">
        <w:t xml:space="preserve"> </w:t>
      </w:r>
      <w:r w:rsidR="00176FD0" w:rsidRPr="00866FFA">
        <w:tab/>
      </w:r>
      <w:r w:rsidRPr="00866FFA">
        <w:t>In discussion</w:t>
      </w:r>
      <w:r w:rsidR="00E917D3" w:rsidRPr="00866FFA">
        <w:t>,</w:t>
      </w:r>
      <w:r w:rsidRPr="00866FFA">
        <w:t xml:space="preserve"> Contracting </w:t>
      </w:r>
      <w:r w:rsidR="00176FD0" w:rsidRPr="00866FFA">
        <w:t>P</w:t>
      </w:r>
      <w:r w:rsidRPr="00866FFA">
        <w:t>arties stated their preference for logo o</w:t>
      </w:r>
      <w:r w:rsidR="00E917D3" w:rsidRPr="00866FFA">
        <w:t>p</w:t>
      </w:r>
      <w:r w:rsidRPr="00866FFA">
        <w:t xml:space="preserve">tions one and three. Contracting Parties suggested edits to the ’50 facts’ and a lead was requested to write some words on the </w:t>
      </w:r>
      <w:r w:rsidR="00176FD0" w:rsidRPr="00866FFA">
        <w:t>i</w:t>
      </w:r>
      <w:r w:rsidRPr="00866FFA">
        <w:t xml:space="preserve">nternational work of the Bonn Agreement for the brochure. </w:t>
      </w:r>
    </w:p>
    <w:p w14:paraId="19F1C5CB" w14:textId="446D16B2" w:rsidR="00736D5C" w:rsidRDefault="00736D5C" w:rsidP="00866FFA">
      <w:r w:rsidRPr="00866FFA">
        <w:t>2.</w:t>
      </w:r>
      <w:r w:rsidR="00176FD0" w:rsidRPr="00866FFA">
        <w:t>29</w:t>
      </w:r>
      <w:r w:rsidRPr="00866FFA">
        <w:t xml:space="preserve"> </w:t>
      </w:r>
      <w:r w:rsidR="00176FD0" w:rsidRPr="00866FFA">
        <w:tab/>
      </w:r>
      <w:r w:rsidRPr="00866FFA">
        <w:rPr>
          <w:b/>
        </w:rPr>
        <w:t>B</w:t>
      </w:r>
      <w:r w:rsidR="006E4610">
        <w:rPr>
          <w:b/>
        </w:rPr>
        <w:t>ONN</w:t>
      </w:r>
      <w:r w:rsidRPr="00866FFA">
        <w:rPr>
          <w:b/>
        </w:rPr>
        <w:t xml:space="preserve"> agreed</w:t>
      </w:r>
      <w:r w:rsidR="00176FD0" w:rsidRPr="00866FFA">
        <w:t xml:space="preserve"> that Contracting Parties should </w:t>
      </w:r>
      <w:r w:rsidRPr="00866FFA">
        <w:t xml:space="preserve">submit comments on </w:t>
      </w:r>
      <w:r w:rsidR="00176FD0" w:rsidRPr="00866FFA">
        <w:t xml:space="preserve">BONN </w:t>
      </w:r>
      <w:r w:rsidRPr="00866FFA">
        <w:t>18/2/7 Add.1 by 18</w:t>
      </w:r>
      <w:r w:rsidRPr="00866FFA">
        <w:rPr>
          <w:vertAlign w:val="superscript"/>
        </w:rPr>
        <w:t xml:space="preserve"> </w:t>
      </w:r>
      <w:r w:rsidRPr="00866FFA">
        <w:t>October and</w:t>
      </w:r>
      <w:r w:rsidR="00E917D3" w:rsidRPr="00866FFA">
        <w:t>,</w:t>
      </w:r>
      <w:r w:rsidRPr="00866FFA">
        <w:t xml:space="preserve"> at the latest</w:t>
      </w:r>
      <w:r w:rsidR="00E917D3" w:rsidRPr="00866FFA">
        <w:t>,</w:t>
      </w:r>
      <w:r w:rsidRPr="00866FFA">
        <w:t xml:space="preserve"> by </w:t>
      </w:r>
      <w:r w:rsidR="00176FD0" w:rsidRPr="00866FFA">
        <w:t xml:space="preserve">5 </w:t>
      </w:r>
      <w:r w:rsidRPr="00866FFA">
        <w:t xml:space="preserve">October on the 50 facts. </w:t>
      </w:r>
      <w:r w:rsidRPr="00866FFA">
        <w:rPr>
          <w:b/>
        </w:rPr>
        <w:t>B</w:t>
      </w:r>
      <w:r w:rsidR="006E4610">
        <w:rPr>
          <w:b/>
        </w:rPr>
        <w:t>ONN</w:t>
      </w:r>
      <w:r w:rsidRPr="00866FFA">
        <w:rPr>
          <w:b/>
        </w:rPr>
        <w:t xml:space="preserve"> also agreed</w:t>
      </w:r>
      <w:r w:rsidRPr="00866FFA">
        <w:t xml:space="preserve"> to use logo options one and three and that the Secretariat would produce one logo in rectangular and one in horizontal format for use in different applications. </w:t>
      </w:r>
    </w:p>
    <w:p w14:paraId="7313370B" w14:textId="77777777" w:rsidR="00866FFA" w:rsidRPr="00866FFA" w:rsidRDefault="00866FFA" w:rsidP="00866FFA"/>
    <w:p w14:paraId="6B3DC31A" w14:textId="77777777" w:rsidR="00BA26C4" w:rsidRPr="00866FFA" w:rsidRDefault="00A9188A" w:rsidP="00866FFA">
      <w:pPr>
        <w:rPr>
          <w:i/>
        </w:rPr>
      </w:pPr>
      <w:r w:rsidRPr="00866FFA">
        <w:rPr>
          <w:i/>
        </w:rPr>
        <w:t>Impact</w:t>
      </w:r>
      <w:r w:rsidR="00BA26C4" w:rsidRPr="00866FFA">
        <w:rPr>
          <w:i/>
        </w:rPr>
        <w:t xml:space="preserve"> </w:t>
      </w:r>
      <w:r w:rsidRPr="00866FFA">
        <w:rPr>
          <w:i/>
        </w:rPr>
        <w:t>of Brexit to the Bonn Agreement</w:t>
      </w:r>
    </w:p>
    <w:p w14:paraId="3B72ABCA" w14:textId="203D2D4F" w:rsidR="00FD6236" w:rsidRPr="00866FFA" w:rsidRDefault="00A9188A" w:rsidP="00866FFA">
      <w:pPr>
        <w:rPr>
          <w:color w:val="000000"/>
        </w:rPr>
      </w:pPr>
      <w:r w:rsidRPr="00866FFA">
        <w:t>2.</w:t>
      </w:r>
      <w:r w:rsidR="00176FD0" w:rsidRPr="00866FFA">
        <w:t>30</w:t>
      </w:r>
      <w:r w:rsidRPr="00866FFA">
        <w:tab/>
      </w:r>
      <w:r w:rsidR="00BA26C4" w:rsidRPr="00866FFA">
        <w:t xml:space="preserve">Ireland </w:t>
      </w:r>
      <w:r w:rsidRPr="00866FFA">
        <w:t xml:space="preserve">presented </w:t>
      </w:r>
      <w:r w:rsidR="004D5C60" w:rsidRPr="00866FFA">
        <w:t xml:space="preserve">BONN </w:t>
      </w:r>
      <w:r w:rsidRPr="00866FFA">
        <w:t>18/2/1</w:t>
      </w:r>
      <w:r w:rsidR="00CD390E" w:rsidRPr="00866FFA">
        <w:t>0</w:t>
      </w:r>
      <w:r w:rsidRPr="00866FFA">
        <w:t xml:space="preserve">(L), which highlighted </w:t>
      </w:r>
      <w:r w:rsidR="00FD6236" w:rsidRPr="00866FFA">
        <w:t xml:space="preserve">the possible negative impacts on the Bonn Agreement with the </w:t>
      </w:r>
      <w:r w:rsidR="00BA26C4" w:rsidRPr="00866FFA">
        <w:t>upcoming Brexit</w:t>
      </w:r>
      <w:r w:rsidR="00FD6236" w:rsidRPr="00866FFA">
        <w:t>. It was noted that t</w:t>
      </w:r>
      <w:r w:rsidR="00BA26C4" w:rsidRPr="00866FFA">
        <w:t>he border issue was a primary concern for UK Citizens</w:t>
      </w:r>
      <w:r w:rsidR="00FD6236" w:rsidRPr="00866FFA">
        <w:t xml:space="preserve">, which could be linked to the </w:t>
      </w:r>
      <w:r w:rsidR="00BA26C4" w:rsidRPr="00866FFA">
        <w:t xml:space="preserve">Host Nation Support </w:t>
      </w:r>
      <w:r w:rsidR="00FD6236" w:rsidRPr="00866FFA">
        <w:t>activity under the Bonn Agreement. There was therefore a need to develop</w:t>
      </w:r>
      <w:r w:rsidR="00706448" w:rsidRPr="00866FFA">
        <w:t xml:space="preserve"> </w:t>
      </w:r>
      <w:r w:rsidR="00176FD0" w:rsidRPr="00866FFA">
        <w:t>pre-</w:t>
      </w:r>
      <w:r w:rsidR="00706448" w:rsidRPr="00866FFA">
        <w:t>contingency</w:t>
      </w:r>
      <w:r w:rsidR="00BA26C4" w:rsidRPr="00866FFA">
        <w:rPr>
          <w:color w:val="000000"/>
        </w:rPr>
        <w:t xml:space="preserve"> plans prior to </w:t>
      </w:r>
      <w:r w:rsidR="00FD6236" w:rsidRPr="00866FFA">
        <w:rPr>
          <w:color w:val="000000"/>
        </w:rPr>
        <w:t>the 29 March 2019.</w:t>
      </w:r>
    </w:p>
    <w:p w14:paraId="39353B3A" w14:textId="77777777" w:rsidR="00913AAF" w:rsidRPr="00866FFA" w:rsidRDefault="00FD6236" w:rsidP="00866FFA">
      <w:r w:rsidRPr="00866FFA">
        <w:rPr>
          <w:color w:val="000000"/>
        </w:rPr>
        <w:t>2.</w:t>
      </w:r>
      <w:r w:rsidR="00176FD0" w:rsidRPr="00866FFA">
        <w:rPr>
          <w:color w:val="000000"/>
        </w:rPr>
        <w:t>31</w:t>
      </w:r>
      <w:r w:rsidRPr="00866FFA">
        <w:rPr>
          <w:color w:val="000000"/>
        </w:rPr>
        <w:tab/>
        <w:t>In discussion</w:t>
      </w:r>
      <w:r w:rsidR="00E917D3" w:rsidRPr="00866FFA">
        <w:rPr>
          <w:color w:val="000000"/>
        </w:rPr>
        <w:t>,</w:t>
      </w:r>
      <w:r w:rsidRPr="00866FFA">
        <w:rPr>
          <w:color w:val="000000"/>
        </w:rPr>
        <w:t xml:space="preserve"> the United Kingdom noted that they would fully adhere to the commitments under the </w:t>
      </w:r>
      <w:r w:rsidR="00665A26" w:rsidRPr="00866FFA">
        <w:t>Bonn Agreement</w:t>
      </w:r>
      <w:r w:rsidRPr="00866FFA">
        <w:t xml:space="preserve">, as an international agreement, and recalled they joined the </w:t>
      </w:r>
      <w:r w:rsidR="00176FD0" w:rsidRPr="00866FFA">
        <w:t>Bonn A</w:t>
      </w:r>
      <w:r w:rsidRPr="00866FFA">
        <w:t>greement (3 years) before joining the EU and did not see any impediments</w:t>
      </w:r>
      <w:r w:rsidR="00665A26" w:rsidRPr="00866FFA">
        <w:t xml:space="preserve">. </w:t>
      </w:r>
      <w:r w:rsidRPr="00866FFA">
        <w:t xml:space="preserve">It was further noted that the United Kingdom was presently not in a position to provide any information on possible impacts of Brexit. </w:t>
      </w:r>
    </w:p>
    <w:p w14:paraId="4A2DE78D" w14:textId="77777777" w:rsidR="00665A26" w:rsidRPr="00866FFA" w:rsidRDefault="00FD6236" w:rsidP="00866FFA">
      <w:r w:rsidRPr="00866FFA">
        <w:lastRenderedPageBreak/>
        <w:t>2.</w:t>
      </w:r>
      <w:r w:rsidR="004D5C60" w:rsidRPr="00866FFA">
        <w:t>32</w:t>
      </w:r>
      <w:r w:rsidRPr="00866FFA">
        <w:tab/>
      </w:r>
      <w:r w:rsidRPr="00866FFA">
        <w:rPr>
          <w:b/>
        </w:rPr>
        <w:t>BONN agreed</w:t>
      </w:r>
      <w:r w:rsidRPr="00866FFA">
        <w:t xml:space="preserve"> to include the discussions on possible impact of Brexit on the Bonn Agreement to the agenda of the </w:t>
      </w:r>
      <w:r w:rsidR="00913AAF" w:rsidRPr="00866FFA">
        <w:t xml:space="preserve">Bonn HoD </w:t>
      </w:r>
      <w:r w:rsidRPr="00866FFA">
        <w:t>20</w:t>
      </w:r>
      <w:r w:rsidR="00913AAF" w:rsidRPr="00866FFA">
        <w:t xml:space="preserve"> February 2019.</w:t>
      </w:r>
      <w:r w:rsidR="00665A26" w:rsidRPr="00866FFA">
        <w:t xml:space="preserve"> </w:t>
      </w:r>
    </w:p>
    <w:p w14:paraId="6AD823EB" w14:textId="7A67CE01" w:rsidR="002D0F9D" w:rsidRPr="00866FFA" w:rsidRDefault="00057A39" w:rsidP="00420DBE">
      <w:pPr>
        <w:pStyle w:val="Heading2"/>
      </w:pPr>
      <w:bookmarkStart w:id="16" w:name="_Toc529533066"/>
      <w:r w:rsidRPr="00866FFA">
        <w:t xml:space="preserve">Agenda Item </w:t>
      </w:r>
      <w:r w:rsidR="003841D2" w:rsidRPr="00866FFA">
        <w:t>3</w:t>
      </w:r>
      <w:r w:rsidRPr="00866FFA">
        <w:t xml:space="preserve"> </w:t>
      </w:r>
      <w:r w:rsidRPr="00866FFA">
        <w:noBreakHyphen/>
        <w:t xml:space="preserve"> Operational, </w:t>
      </w:r>
      <w:r w:rsidR="003A75AC" w:rsidRPr="00866FFA">
        <w:t>t</w:t>
      </w:r>
      <w:r w:rsidRPr="00866FFA">
        <w:t xml:space="preserve">echnical and </w:t>
      </w:r>
      <w:r w:rsidR="003A75AC" w:rsidRPr="00866FFA">
        <w:t>s</w:t>
      </w:r>
      <w:r w:rsidRPr="00866FFA">
        <w:t xml:space="preserve">cientific </w:t>
      </w:r>
      <w:r w:rsidR="003A75AC" w:rsidRPr="00866FFA">
        <w:t>q</w:t>
      </w:r>
      <w:r w:rsidRPr="00866FFA">
        <w:t xml:space="preserve">uestions concerning </w:t>
      </w:r>
      <w:r w:rsidR="003A75AC" w:rsidRPr="00866FFA">
        <w:t>c</w:t>
      </w:r>
      <w:r w:rsidRPr="00866FFA">
        <w:t>ounter-</w:t>
      </w:r>
      <w:r w:rsidR="003A75AC" w:rsidRPr="00866FFA">
        <w:t>p</w:t>
      </w:r>
      <w:r w:rsidRPr="00866FFA">
        <w:t xml:space="preserve">ollution </w:t>
      </w:r>
      <w:r w:rsidR="003A75AC" w:rsidRPr="00866FFA">
        <w:t>a</w:t>
      </w:r>
      <w:r w:rsidRPr="00866FFA">
        <w:t>ctivities (report of the OTSOPA Working Group)</w:t>
      </w:r>
      <w:bookmarkEnd w:id="16"/>
    </w:p>
    <w:p w14:paraId="00E6D075" w14:textId="77777777" w:rsidR="002D0F9D" w:rsidRPr="00866FFA" w:rsidRDefault="005F5192" w:rsidP="00866FFA">
      <w:r w:rsidRPr="00866FFA">
        <w:t>3.</w:t>
      </w:r>
      <w:r w:rsidR="004D5C60" w:rsidRPr="00866FFA">
        <w:t>1</w:t>
      </w:r>
      <w:r w:rsidR="002D0F9D" w:rsidRPr="00866FFA">
        <w:tab/>
        <w:t xml:space="preserve">The Chair of OTSOPA, Stan Woznicki (United Kingdom), introduced BONN 18/3/1 on issues arising from the meeting of OTSOPA held in </w:t>
      </w:r>
      <w:r w:rsidR="00FD6236" w:rsidRPr="00866FFA">
        <w:t>Malmo</w:t>
      </w:r>
      <w:r w:rsidR="002D0F9D" w:rsidRPr="00866FFA">
        <w:t xml:space="preserve"> at the invitation of </w:t>
      </w:r>
      <w:r w:rsidR="00FD6236" w:rsidRPr="00866FFA">
        <w:t>Sweden, 22-24</w:t>
      </w:r>
      <w:r w:rsidR="002D0F9D" w:rsidRPr="00866FFA">
        <w:t xml:space="preserve"> May 2018. The focus was on the </w:t>
      </w:r>
      <w:r w:rsidR="00494348" w:rsidRPr="00866FFA">
        <w:t>Bonn Agreement Action Plan 2016-2019, and the implementation plan for BE-AWARE. Both plans had been amended accordingly. The Chair of OTSOPA not</w:t>
      </w:r>
      <w:r w:rsidR="002D0F9D" w:rsidRPr="00866FFA">
        <w:t xml:space="preserve">ed that </w:t>
      </w:r>
      <w:r w:rsidR="00494348" w:rsidRPr="00866FFA">
        <w:t xml:space="preserve">there had been a discussion </w:t>
      </w:r>
      <w:r w:rsidR="004D5C60" w:rsidRPr="00866FFA">
        <w:t xml:space="preserve">on </w:t>
      </w:r>
      <w:r w:rsidR="00494348" w:rsidRPr="00866FFA">
        <w:t xml:space="preserve">the HNS project, and several presentations on </w:t>
      </w:r>
      <w:r w:rsidR="004D5C60" w:rsidRPr="00866FFA">
        <w:t>D</w:t>
      </w:r>
      <w:r w:rsidR="00494348" w:rsidRPr="00866FFA">
        <w:t>escriptor 8, under the Marine Strategy Framework Directive, and wildlife response Sea Alarm, and SWECO. Furthermore</w:t>
      </w:r>
      <w:r w:rsidR="00E917D3" w:rsidRPr="00866FFA">
        <w:t>,</w:t>
      </w:r>
      <w:r w:rsidR="00494348" w:rsidRPr="00866FFA">
        <w:t xml:space="preserve"> a review of the Counter Pollution Manual had been initiated at OTSOPA.</w:t>
      </w:r>
    </w:p>
    <w:p w14:paraId="31D7C324" w14:textId="77777777" w:rsidR="00492599" w:rsidRPr="00866FFA" w:rsidRDefault="00494348" w:rsidP="00866FFA">
      <w:r w:rsidRPr="00866FFA">
        <w:t>3.</w:t>
      </w:r>
      <w:r w:rsidR="004D5C60" w:rsidRPr="00866FFA">
        <w:t>2</w:t>
      </w:r>
      <w:r w:rsidRPr="00866FFA">
        <w:tab/>
        <w:t xml:space="preserve">The </w:t>
      </w:r>
      <w:bookmarkStart w:id="17" w:name="_Toc517959690"/>
      <w:r w:rsidR="00492599" w:rsidRPr="00866FFA">
        <w:t>Joint Action Programme</w:t>
      </w:r>
      <w:bookmarkEnd w:id="17"/>
      <w:r w:rsidRPr="00866FFA">
        <w:t xml:space="preserve"> was presented.</w:t>
      </w:r>
    </w:p>
    <w:p w14:paraId="3D65FD1E" w14:textId="77777777" w:rsidR="00494348" w:rsidRPr="00866FFA" w:rsidRDefault="00494348" w:rsidP="00866FFA">
      <w:r w:rsidRPr="00866FFA">
        <w:t>3.</w:t>
      </w:r>
      <w:r w:rsidR="004D5C60" w:rsidRPr="00866FFA">
        <w:t>3</w:t>
      </w:r>
      <w:r w:rsidRPr="00866FFA">
        <w:tab/>
      </w:r>
      <w:r w:rsidRPr="006E4610">
        <w:rPr>
          <w:b/>
        </w:rPr>
        <w:t>BONN</w:t>
      </w:r>
      <w:r w:rsidRPr="00866FFA">
        <w:t xml:space="preserve"> </w:t>
      </w:r>
      <w:r w:rsidRPr="006E4610">
        <w:rPr>
          <w:b/>
        </w:rPr>
        <w:t>agreed</w:t>
      </w:r>
      <w:r w:rsidRPr="00866FFA">
        <w:t xml:space="preserve"> to adopt the Joint Action Programme</w:t>
      </w:r>
      <w:r w:rsidR="00820E1E" w:rsidRPr="00866FFA">
        <w:t>, see Annex 8</w:t>
      </w:r>
      <w:r w:rsidRPr="00866FFA">
        <w:t>.</w:t>
      </w:r>
    </w:p>
    <w:p w14:paraId="0CAC405B" w14:textId="77777777" w:rsidR="00494348" w:rsidRPr="00AB6FB6" w:rsidRDefault="00494348" w:rsidP="00AB6FB6">
      <w:pPr>
        <w:rPr>
          <w:i/>
        </w:rPr>
      </w:pPr>
      <w:r w:rsidRPr="00AB6FB6">
        <w:rPr>
          <w:i/>
        </w:rPr>
        <w:t>D</w:t>
      </w:r>
      <w:r w:rsidR="006A315F" w:rsidRPr="00AB6FB6">
        <w:rPr>
          <w:i/>
        </w:rPr>
        <w:t>raft Annual Report on Aerial Surveillance for 201</w:t>
      </w:r>
      <w:r w:rsidR="002D3383" w:rsidRPr="00AB6FB6">
        <w:rPr>
          <w:i/>
        </w:rPr>
        <w:t>7</w:t>
      </w:r>
      <w:r w:rsidR="006A315F" w:rsidRPr="00AB6FB6">
        <w:rPr>
          <w:i/>
        </w:rPr>
        <w:t xml:space="preserve"> </w:t>
      </w:r>
    </w:p>
    <w:p w14:paraId="472D93C3" w14:textId="1540EE7E" w:rsidR="005F5192" w:rsidRPr="00866FFA" w:rsidRDefault="005F5192" w:rsidP="00866FFA">
      <w:r w:rsidRPr="00866FFA">
        <w:t>3.</w:t>
      </w:r>
      <w:r w:rsidR="00B44177" w:rsidRPr="00866FFA">
        <w:t>4</w:t>
      </w:r>
      <w:r w:rsidRPr="00866FFA">
        <w:tab/>
        <w:t xml:space="preserve">The Secretariat </w:t>
      </w:r>
      <w:r w:rsidR="00C53939" w:rsidRPr="00866FFA">
        <w:t xml:space="preserve">and Belgium </w:t>
      </w:r>
      <w:r w:rsidRPr="00866FFA">
        <w:t xml:space="preserve">presented </w:t>
      </w:r>
      <w:r w:rsidR="00494348" w:rsidRPr="00866FFA">
        <w:t>BONN 18/3</w:t>
      </w:r>
      <w:r w:rsidR="00C53939" w:rsidRPr="00866FFA">
        <w:t>/2</w:t>
      </w:r>
      <w:r w:rsidRPr="00866FFA">
        <w:t xml:space="preserve">, the draft Annual Report on Aerial Surveillance for 2017, and </w:t>
      </w:r>
      <w:r w:rsidR="00494348" w:rsidRPr="00866FFA">
        <w:t>BONN 18/3</w:t>
      </w:r>
      <w:r w:rsidR="00C53939" w:rsidRPr="00866FFA">
        <w:t>/2</w:t>
      </w:r>
      <w:r w:rsidRPr="00866FFA">
        <w:t xml:space="preserve"> Add.1, the draft Aerial Surveillance fact sheet. </w:t>
      </w:r>
      <w:r w:rsidR="00C53939" w:rsidRPr="00866FFA">
        <w:t>It was noted from the Secretariat and Belgium that there was inconsistency with the submitted data</w:t>
      </w:r>
      <w:r w:rsidR="00061EF7" w:rsidRPr="00866FFA">
        <w:t xml:space="preserve"> and its presentation</w:t>
      </w:r>
      <w:r w:rsidR="00C53939" w:rsidRPr="00866FFA">
        <w:t xml:space="preserve">, and that the report was not in a version that could be adopted by BONN </w:t>
      </w:r>
      <w:r w:rsidR="00B44177" w:rsidRPr="00866FFA">
        <w:t>20</w:t>
      </w:r>
      <w:r w:rsidR="00C53939" w:rsidRPr="00866FFA">
        <w:t>18. That was the same for the factsheet. It was therefore recommended that the Secretariat would initiate a Webex for OTSOPA to finalise the products.</w:t>
      </w:r>
    </w:p>
    <w:p w14:paraId="3A8A7C3A" w14:textId="489C5A23" w:rsidR="00C53939" w:rsidRPr="00866FFA" w:rsidRDefault="005F5192" w:rsidP="00866FFA">
      <w:r w:rsidRPr="00866FFA">
        <w:t>3.</w:t>
      </w:r>
      <w:r w:rsidR="00B44177" w:rsidRPr="00866FFA">
        <w:t>5</w:t>
      </w:r>
      <w:r w:rsidRPr="00866FFA">
        <w:tab/>
      </w:r>
      <w:r w:rsidR="00C53939" w:rsidRPr="00866FFA">
        <w:rPr>
          <w:b/>
        </w:rPr>
        <w:t>BONN</w:t>
      </w:r>
      <w:r w:rsidRPr="00866FFA">
        <w:rPr>
          <w:b/>
        </w:rPr>
        <w:t xml:space="preserve"> agreed</w:t>
      </w:r>
      <w:r w:rsidRPr="00866FFA">
        <w:t xml:space="preserve"> to </w:t>
      </w:r>
      <w:r w:rsidR="00C53939" w:rsidRPr="00866FFA">
        <w:t xml:space="preserve">mandate the Secretariat to finalise the documents after correspondence with OTSOPA, and for BONN to adopt the </w:t>
      </w:r>
      <w:r w:rsidR="00E8352A" w:rsidRPr="00866FFA">
        <w:t>publication</w:t>
      </w:r>
      <w:r w:rsidR="00C53939" w:rsidRPr="00866FFA">
        <w:t xml:space="preserve"> in a written procedur</w:t>
      </w:r>
      <w:r w:rsidR="00B937CA" w:rsidRPr="00866FFA">
        <w:t>e by 1 February</w:t>
      </w:r>
      <w:r w:rsidR="00B44177" w:rsidRPr="00866FFA">
        <w:t xml:space="preserve"> 2019</w:t>
      </w:r>
      <w:r w:rsidR="00B937CA" w:rsidRPr="00866FFA">
        <w:t>.</w:t>
      </w:r>
      <w:r w:rsidR="00C61E20" w:rsidRPr="00866FFA">
        <w:t xml:space="preserve"> </w:t>
      </w:r>
      <w:r w:rsidR="00C61E20" w:rsidRPr="00866FFA">
        <w:rPr>
          <w:b/>
        </w:rPr>
        <w:t>B</w:t>
      </w:r>
      <w:r w:rsidR="006E4610">
        <w:rPr>
          <w:b/>
        </w:rPr>
        <w:t>ONN</w:t>
      </w:r>
      <w:r w:rsidR="00C61E20" w:rsidRPr="00866FFA">
        <w:rPr>
          <w:b/>
        </w:rPr>
        <w:t xml:space="preserve"> agreed </w:t>
      </w:r>
      <w:r w:rsidR="00C61E20" w:rsidRPr="00866FFA">
        <w:t>that for future data calls only data submitted correctly and on time would be included in the report.</w:t>
      </w:r>
    </w:p>
    <w:p w14:paraId="6DCC957C" w14:textId="77777777" w:rsidR="00C53939" w:rsidRPr="00AB6FB6" w:rsidRDefault="00C53939" w:rsidP="00AB6FB6">
      <w:pPr>
        <w:rPr>
          <w:i/>
        </w:rPr>
      </w:pPr>
      <w:r w:rsidRPr="00AB6FB6">
        <w:rPr>
          <w:i/>
        </w:rPr>
        <w:t>P</w:t>
      </w:r>
      <w:r w:rsidR="003036F3" w:rsidRPr="00AB6FB6">
        <w:rPr>
          <w:i/>
        </w:rPr>
        <w:t xml:space="preserve">ublication of the draft Annual report on Tour d’Horizon for 2017 </w:t>
      </w:r>
    </w:p>
    <w:p w14:paraId="5C8F9CC6" w14:textId="078B090D" w:rsidR="00C53939" w:rsidRPr="00866FFA" w:rsidRDefault="009A1488" w:rsidP="00866FFA">
      <w:r w:rsidRPr="00866FFA">
        <w:t>3.</w:t>
      </w:r>
      <w:r w:rsidR="00B44177" w:rsidRPr="00866FFA">
        <w:t>6</w:t>
      </w:r>
      <w:r w:rsidRPr="00866FFA">
        <w:tab/>
        <w:t xml:space="preserve">Belgium presented </w:t>
      </w:r>
      <w:r w:rsidR="00C53939" w:rsidRPr="00866FFA">
        <w:t>BONN 18/2/3</w:t>
      </w:r>
      <w:r w:rsidRPr="00866FFA">
        <w:t>, a compilation of TdH data for 2017</w:t>
      </w:r>
      <w:r w:rsidR="00C53939" w:rsidRPr="00866FFA">
        <w:t>, and highlighted that many TdH detections did not receive an appropriate</w:t>
      </w:r>
      <w:r w:rsidR="00061EF7" w:rsidRPr="00866FFA">
        <w:t xml:space="preserve"> an appropriate coastal State response or follow-up, due to issues of TdH detection reporting (as a result of which for example only 3 of 9 major spills got investigated).TdH detections are not always correctly reported by the aircrew or liasing centres to National Contact Points (NCPs), are very often not acknowledged by the NCPs, or are not always forwarded to the competent national authority within the affected coastal State. Due to these recurrent TdH reporting issues, </w:t>
      </w:r>
      <w:r w:rsidR="00061EF7" w:rsidRPr="006E4610">
        <w:rPr>
          <w:b/>
        </w:rPr>
        <w:t>BONN</w:t>
      </w:r>
      <w:r w:rsidR="00061EF7" w:rsidRPr="00866FFA">
        <w:t xml:space="preserve"> </w:t>
      </w:r>
      <w:r w:rsidR="00061EF7" w:rsidRPr="006E4610">
        <w:rPr>
          <w:b/>
        </w:rPr>
        <w:t>agreed</w:t>
      </w:r>
      <w:r w:rsidR="00061EF7" w:rsidRPr="00866FFA">
        <w:t xml:space="preserve"> to instruct aircrew and liaising centres to strictly apply the agreed TdH reporting procedures listed in the recently updated Aerial Operations Handbook. Furthermore, </w:t>
      </w:r>
      <w:r w:rsidR="00B44177" w:rsidRPr="00866FFA">
        <w:t xml:space="preserve">a </w:t>
      </w:r>
      <w:r w:rsidR="00C53939" w:rsidRPr="00866FFA">
        <w:t xml:space="preserve">single National </w:t>
      </w:r>
      <w:r w:rsidR="00B44177" w:rsidRPr="00866FFA">
        <w:t xml:space="preserve">contact </w:t>
      </w:r>
      <w:r w:rsidR="00C53939" w:rsidRPr="00866FFA">
        <w:t>point is needed.</w:t>
      </w:r>
    </w:p>
    <w:p w14:paraId="0C7E32F9" w14:textId="77777777" w:rsidR="00C53939" w:rsidRPr="00866FFA" w:rsidRDefault="009A1488" w:rsidP="00866FFA">
      <w:r w:rsidRPr="00866FFA">
        <w:t>3.</w:t>
      </w:r>
      <w:r w:rsidR="00B44177" w:rsidRPr="00866FFA">
        <w:t>7</w:t>
      </w:r>
      <w:r w:rsidRPr="00866FFA">
        <w:tab/>
      </w:r>
      <w:r w:rsidRPr="00866FFA">
        <w:rPr>
          <w:b/>
        </w:rPr>
        <w:t>BONN agreed</w:t>
      </w:r>
      <w:r w:rsidRPr="00866FFA">
        <w:t xml:space="preserve"> </w:t>
      </w:r>
      <w:r w:rsidR="00B937CA" w:rsidRPr="00866FFA">
        <w:t xml:space="preserve">to adopt the Tour d’ Horizon report </w:t>
      </w:r>
      <w:r w:rsidR="00736D5C" w:rsidRPr="00866FFA">
        <w:t xml:space="preserve">for publication </w:t>
      </w:r>
      <w:r w:rsidR="00B937CA" w:rsidRPr="00866FFA">
        <w:t>pending any corrections during the additional Aerial Surveillance WebEx.</w:t>
      </w:r>
    </w:p>
    <w:p w14:paraId="6076222B" w14:textId="77777777" w:rsidR="00C53939" w:rsidRPr="00866FFA" w:rsidRDefault="007651C7" w:rsidP="00866FFA">
      <w:pPr>
        <w:rPr>
          <w:i/>
          <w:lang w:eastAsia="en-GB"/>
        </w:rPr>
      </w:pPr>
      <w:r w:rsidRPr="00866FFA">
        <w:rPr>
          <w:i/>
          <w:lang w:eastAsia="en-GB"/>
        </w:rPr>
        <w:t>Counter Pollution Manual</w:t>
      </w:r>
      <w:r w:rsidR="002D3383" w:rsidRPr="00866FFA">
        <w:rPr>
          <w:i/>
          <w:lang w:eastAsia="en-GB"/>
        </w:rPr>
        <w:t xml:space="preserve"> </w:t>
      </w:r>
    </w:p>
    <w:p w14:paraId="2F09AFCD" w14:textId="77777777" w:rsidR="00C53939" w:rsidRPr="00866FFA" w:rsidRDefault="00C53939" w:rsidP="00866FFA">
      <w:r w:rsidRPr="00866FFA">
        <w:rPr>
          <w:lang w:eastAsia="en-GB"/>
        </w:rPr>
        <w:t>3.</w:t>
      </w:r>
      <w:r w:rsidR="00B44177" w:rsidRPr="00866FFA">
        <w:rPr>
          <w:lang w:eastAsia="en-GB"/>
        </w:rPr>
        <w:t>8</w:t>
      </w:r>
      <w:r w:rsidRPr="00866FFA">
        <w:rPr>
          <w:lang w:eastAsia="en-GB"/>
        </w:rPr>
        <w:tab/>
        <w:t xml:space="preserve"> The Secretariat presented the overview of the revised </w:t>
      </w:r>
      <w:r w:rsidRPr="00866FFA">
        <w:t xml:space="preserve">Counter Pollution Manual </w:t>
      </w:r>
      <w:r w:rsidR="004136E6" w:rsidRPr="00866FFA">
        <w:rPr>
          <w:lang w:eastAsia="en-GB"/>
        </w:rPr>
        <w:t xml:space="preserve">BONN </w:t>
      </w:r>
      <w:r w:rsidR="002D3383" w:rsidRPr="00866FFA">
        <w:rPr>
          <w:lang w:eastAsia="en-GB"/>
        </w:rPr>
        <w:t>18</w:t>
      </w:r>
      <w:r w:rsidR="00CC4CDB" w:rsidRPr="00866FFA">
        <w:rPr>
          <w:lang w:eastAsia="en-GB"/>
        </w:rPr>
        <w:t>/3/</w:t>
      </w:r>
      <w:r w:rsidR="002D3383" w:rsidRPr="00866FFA">
        <w:rPr>
          <w:lang w:eastAsia="en-GB"/>
        </w:rPr>
        <w:t>4</w:t>
      </w:r>
      <w:r w:rsidRPr="00866FFA">
        <w:rPr>
          <w:lang w:eastAsia="en-GB"/>
        </w:rPr>
        <w:t xml:space="preserve">, and noted that a </w:t>
      </w:r>
      <w:r w:rsidR="00D77C80" w:rsidRPr="00866FFA">
        <w:t xml:space="preserve">new structure </w:t>
      </w:r>
      <w:r w:rsidRPr="00866FFA">
        <w:t>had been</w:t>
      </w:r>
      <w:r w:rsidR="00D77C80" w:rsidRPr="00866FFA">
        <w:t xml:space="preserve"> agreed at </w:t>
      </w:r>
      <w:r w:rsidR="004136E6" w:rsidRPr="00866FFA">
        <w:t>BONN</w:t>
      </w:r>
      <w:r w:rsidR="00D77C80" w:rsidRPr="00866FFA">
        <w:t xml:space="preserve"> </w:t>
      </w:r>
      <w:r w:rsidR="00B44177" w:rsidRPr="00866FFA">
        <w:t>20</w:t>
      </w:r>
      <w:r w:rsidR="00D77C80" w:rsidRPr="00866FFA">
        <w:t>16 and since then a majority of the chapters h</w:t>
      </w:r>
      <w:r w:rsidRPr="00866FFA">
        <w:t>ad</w:t>
      </w:r>
      <w:r w:rsidR="00D77C80" w:rsidRPr="00866FFA">
        <w:t xml:space="preserve"> been updated. </w:t>
      </w:r>
      <w:r w:rsidRPr="00866FFA">
        <w:t>However there was still a need for the manual to be revised by OTSOPA.</w:t>
      </w:r>
    </w:p>
    <w:p w14:paraId="21AA1FB2" w14:textId="77777777" w:rsidR="00595517" w:rsidRPr="00866FFA" w:rsidRDefault="00C53939" w:rsidP="00866FFA">
      <w:pPr>
        <w:rPr>
          <w:highlight w:val="yellow"/>
        </w:rPr>
      </w:pPr>
      <w:r w:rsidRPr="00866FFA">
        <w:lastRenderedPageBreak/>
        <w:t>3.</w:t>
      </w:r>
      <w:r w:rsidR="00B44177" w:rsidRPr="00866FFA">
        <w:t>9</w:t>
      </w:r>
      <w:r w:rsidRPr="00866FFA">
        <w:tab/>
        <w:t xml:space="preserve">In discussion </w:t>
      </w:r>
      <w:r w:rsidR="00B937CA" w:rsidRPr="00866FFA">
        <w:t xml:space="preserve">Contracting Parties noted that Chapter 1.15: Financial Aspects could be deleted and Norway clarified that Chapter 2.13: Notification of Drifting Objects was meant as an additional note in POLREPS. </w:t>
      </w:r>
    </w:p>
    <w:p w14:paraId="168EA970" w14:textId="77777777" w:rsidR="00C53939" w:rsidRPr="00866FFA" w:rsidRDefault="00C53939" w:rsidP="00866FFA">
      <w:r w:rsidRPr="00866FFA">
        <w:t>3.</w:t>
      </w:r>
      <w:r w:rsidR="00B44177" w:rsidRPr="00866FFA">
        <w:t>10</w:t>
      </w:r>
      <w:r w:rsidRPr="00866FFA">
        <w:tab/>
      </w:r>
      <w:r w:rsidRPr="00866FFA">
        <w:rPr>
          <w:b/>
        </w:rPr>
        <w:t>BONN agreed</w:t>
      </w:r>
      <w:r w:rsidRPr="00866FFA">
        <w:t xml:space="preserve"> </w:t>
      </w:r>
      <w:r w:rsidR="00B937CA" w:rsidRPr="00866FFA">
        <w:t xml:space="preserve">that the Secretariat </w:t>
      </w:r>
      <w:r w:rsidR="00B44177" w:rsidRPr="00866FFA">
        <w:t>would</w:t>
      </w:r>
      <w:r w:rsidR="00B937CA" w:rsidRPr="00866FFA">
        <w:t xml:space="preserve"> circulate the Chapters for final editing as soon as possible and Contrac</w:t>
      </w:r>
      <w:r w:rsidR="00E917D3" w:rsidRPr="00866FFA">
        <w:t>t</w:t>
      </w:r>
      <w:r w:rsidR="00B937CA" w:rsidRPr="00866FFA">
        <w:t xml:space="preserve">ing Parties will then submit final versions by November 15. The Secretariat will then compile these and recirculate for agreement at OTSOPA </w:t>
      </w:r>
      <w:r w:rsidR="00B44177" w:rsidRPr="00866FFA">
        <w:t>20</w:t>
      </w:r>
      <w:r w:rsidR="00B937CA" w:rsidRPr="00866FFA">
        <w:t xml:space="preserve">19. </w:t>
      </w:r>
    </w:p>
    <w:p w14:paraId="7A06E2E2" w14:textId="15E8A847" w:rsidR="00253306" w:rsidRPr="00866FFA" w:rsidRDefault="00B30406" w:rsidP="00866FFA">
      <w:r w:rsidRPr="00866FFA">
        <w:rPr>
          <w:i/>
          <w:lang w:eastAsia="en-GB"/>
        </w:rPr>
        <w:t xml:space="preserve">CECIS and </w:t>
      </w:r>
      <w:r w:rsidR="00032B05" w:rsidRPr="00866FFA">
        <w:rPr>
          <w:i/>
          <w:lang w:eastAsia="en-GB"/>
        </w:rPr>
        <w:t xml:space="preserve">Exercise </w:t>
      </w:r>
      <w:r w:rsidRPr="00866FFA">
        <w:rPr>
          <w:i/>
          <w:lang w:eastAsia="en-GB"/>
        </w:rPr>
        <w:t xml:space="preserve">SCOPE 2017 </w:t>
      </w:r>
    </w:p>
    <w:p w14:paraId="753AF6F4" w14:textId="198C79A5" w:rsidR="00E52DBB" w:rsidRPr="00866FFA" w:rsidRDefault="00864C5B" w:rsidP="00866FFA">
      <w:pPr>
        <w:rPr>
          <w:color w:val="000000"/>
          <w:lang w:val="en-US" w:eastAsia="en-GB"/>
        </w:rPr>
      </w:pPr>
      <w:r w:rsidRPr="00866FFA">
        <w:t>3.</w:t>
      </w:r>
      <w:r w:rsidR="00B44177" w:rsidRPr="00866FFA">
        <w:t>11</w:t>
      </w:r>
      <w:r w:rsidRPr="00866FFA">
        <w:tab/>
      </w:r>
      <w:r w:rsidR="00253306" w:rsidRPr="00866FFA">
        <w:t xml:space="preserve">Norway presented </w:t>
      </w:r>
      <w:r w:rsidRPr="00866FFA">
        <w:t>BONN 18/3/6</w:t>
      </w:r>
      <w:r w:rsidR="00253306" w:rsidRPr="00866FFA">
        <w:t xml:space="preserve"> </w:t>
      </w:r>
      <w:r w:rsidRPr="00866FFA">
        <w:t xml:space="preserve">in cooperation with Denmark </w:t>
      </w:r>
      <w:r w:rsidR="00253306" w:rsidRPr="00866FFA">
        <w:t xml:space="preserve">on the </w:t>
      </w:r>
      <w:r w:rsidRPr="00866FFA">
        <w:t>outcome of</w:t>
      </w:r>
      <w:r w:rsidR="00253306" w:rsidRPr="00866FFA">
        <w:t xml:space="preserve"> </w:t>
      </w:r>
      <w:r w:rsidR="00032B05" w:rsidRPr="00866FFA">
        <w:t xml:space="preserve">Exercise </w:t>
      </w:r>
      <w:r w:rsidR="00253306" w:rsidRPr="00866FFA">
        <w:t>SCOPE 2017</w:t>
      </w:r>
      <w:r w:rsidRPr="00866FFA">
        <w:t xml:space="preserve">, and the meeting with DG-ECHO, and CECIS from June 2018. </w:t>
      </w:r>
      <w:r w:rsidR="00B44177" w:rsidRPr="00866FFA">
        <w:t xml:space="preserve">At that meeting </w:t>
      </w:r>
      <w:r w:rsidR="00E52DBB" w:rsidRPr="00866FFA">
        <w:rPr>
          <w:color w:val="000000"/>
          <w:lang w:val="en-US" w:eastAsia="en-GB"/>
        </w:rPr>
        <w:t>OTSOPA representatives had stressed that alarm exercise</w:t>
      </w:r>
      <w:r w:rsidR="00B44177" w:rsidRPr="00866FFA">
        <w:rPr>
          <w:color w:val="000000"/>
          <w:lang w:val="en-US" w:eastAsia="en-GB"/>
        </w:rPr>
        <w:t>s</w:t>
      </w:r>
      <w:r w:rsidR="00E52DBB" w:rsidRPr="00866FFA">
        <w:rPr>
          <w:color w:val="000000"/>
          <w:lang w:val="en-US" w:eastAsia="en-GB"/>
        </w:rPr>
        <w:t xml:space="preserve"> where the member states should use SSN Training Mode </w:t>
      </w:r>
      <w:r w:rsidR="00085E82" w:rsidRPr="00866FFA">
        <w:rPr>
          <w:color w:val="000000"/>
          <w:lang w:val="en-US" w:eastAsia="en-GB"/>
        </w:rPr>
        <w:t>and</w:t>
      </w:r>
      <w:r w:rsidR="00E52DBB" w:rsidRPr="00866FFA">
        <w:rPr>
          <w:color w:val="000000"/>
          <w:lang w:val="en-US" w:eastAsia="en-GB"/>
        </w:rPr>
        <w:t xml:space="preserve"> CECIS Command Post exercise seem to have little relevance/value compared with exercises w</w:t>
      </w:r>
      <w:r w:rsidR="00B44177" w:rsidRPr="00866FFA">
        <w:rPr>
          <w:color w:val="000000"/>
          <w:lang w:val="en-US" w:eastAsia="en-GB"/>
        </w:rPr>
        <w:t>h</w:t>
      </w:r>
      <w:r w:rsidR="00E52DBB" w:rsidRPr="00866FFA">
        <w:rPr>
          <w:color w:val="000000"/>
          <w:lang w:val="en-US" w:eastAsia="en-GB"/>
        </w:rPr>
        <w:t xml:space="preserve">ere the real version of these tools are used. It had been noted that member states are very differently </w:t>
      </w:r>
      <w:r w:rsidR="00B44177" w:rsidRPr="00866FFA">
        <w:rPr>
          <w:color w:val="000000"/>
          <w:lang w:val="en-US" w:eastAsia="en-GB"/>
        </w:rPr>
        <w:t>organised</w:t>
      </w:r>
      <w:r w:rsidR="00E52DBB" w:rsidRPr="00866FFA">
        <w:rPr>
          <w:color w:val="000000"/>
          <w:lang w:val="en-US" w:eastAsia="en-GB"/>
        </w:rPr>
        <w:t>. Responsibility and the use of SSN and CECIS varies from one nation to another. SSN is developed as an operational tool according to the VTMIS-Directive. Because of that authorities with responsibility for the use of SSN in several countries are without any responsibility related to Marine Pollution response. This has resulted in the lack of information sharing within some member states. It was recommended to establish a working group with representatives from DG ECHO, EMSA and some of the member states to continue the process.</w:t>
      </w:r>
    </w:p>
    <w:p w14:paraId="7220DC68" w14:textId="77777777" w:rsidR="00E52DBB" w:rsidRPr="00866FFA" w:rsidRDefault="00E52DBB" w:rsidP="00866FFA">
      <w:pPr>
        <w:rPr>
          <w:lang w:val="en-US" w:eastAsia="en-GB"/>
        </w:rPr>
      </w:pPr>
      <w:r w:rsidRPr="00866FFA">
        <w:rPr>
          <w:lang w:val="en-US" w:eastAsia="en-GB"/>
        </w:rPr>
        <w:t>3.</w:t>
      </w:r>
      <w:r w:rsidR="008F5988" w:rsidRPr="00866FFA">
        <w:rPr>
          <w:lang w:val="en-US" w:eastAsia="en-GB"/>
        </w:rPr>
        <w:t>12</w:t>
      </w:r>
      <w:r w:rsidRPr="00866FFA">
        <w:rPr>
          <w:lang w:val="en-US" w:eastAsia="en-GB"/>
        </w:rPr>
        <w:tab/>
      </w:r>
      <w:r w:rsidRPr="00866FFA">
        <w:rPr>
          <w:b/>
          <w:lang w:val="en-US" w:eastAsia="en-GB"/>
        </w:rPr>
        <w:t>BONN agreed</w:t>
      </w:r>
      <w:r w:rsidRPr="00866FFA">
        <w:rPr>
          <w:lang w:val="en-US" w:eastAsia="en-GB"/>
        </w:rPr>
        <w:t xml:space="preserve"> to support OTSOPA in the establishment of a working group.</w:t>
      </w:r>
    </w:p>
    <w:p w14:paraId="71B48607" w14:textId="6E4779DA" w:rsidR="00A45748" w:rsidRPr="00866FFA" w:rsidRDefault="00E52DBB" w:rsidP="00866FFA">
      <w:pPr>
        <w:rPr>
          <w:i/>
          <w:lang w:eastAsia="en-GB"/>
        </w:rPr>
      </w:pPr>
      <w:r w:rsidRPr="00866FFA">
        <w:rPr>
          <w:i/>
          <w:lang w:eastAsia="en-GB"/>
        </w:rPr>
        <w:t>N</w:t>
      </w:r>
      <w:r w:rsidR="00A45748" w:rsidRPr="00866FFA">
        <w:rPr>
          <w:i/>
          <w:lang w:eastAsia="en-GB"/>
        </w:rPr>
        <w:t>ew fuel</w:t>
      </w:r>
      <w:r w:rsidRPr="00866FFA">
        <w:rPr>
          <w:i/>
          <w:lang w:eastAsia="en-GB"/>
        </w:rPr>
        <w:t>s</w:t>
      </w:r>
    </w:p>
    <w:p w14:paraId="3586AB50" w14:textId="77777777" w:rsidR="00F356EB" w:rsidRPr="00866FFA" w:rsidRDefault="00F356EB" w:rsidP="00866FFA">
      <w:pPr>
        <w:rPr>
          <w:rFonts w:eastAsia="Calibri"/>
        </w:rPr>
      </w:pPr>
      <w:r w:rsidRPr="00866FFA">
        <w:t>3.</w:t>
      </w:r>
      <w:r w:rsidR="008F5988" w:rsidRPr="00866FFA">
        <w:t>13</w:t>
      </w:r>
      <w:r w:rsidRPr="00866FFA">
        <w:tab/>
        <w:t xml:space="preserve">Norway presented </w:t>
      </w:r>
      <w:r w:rsidR="003C2809" w:rsidRPr="00866FFA">
        <w:t>BONN 18/3/7</w:t>
      </w:r>
      <w:r w:rsidRPr="00866FFA">
        <w:t>, highlighting</w:t>
      </w:r>
      <w:r w:rsidRPr="00866FFA">
        <w:rPr>
          <w:rFonts w:eastAsia="Calibri"/>
        </w:rPr>
        <w:t xml:space="preserve"> the </w:t>
      </w:r>
      <w:r w:rsidRPr="00866FFA">
        <w:t>new low / ultra low sulphur and alternative fuels</w:t>
      </w:r>
      <w:r w:rsidRPr="00866FFA">
        <w:rPr>
          <w:rFonts w:eastAsia="Calibri"/>
        </w:rPr>
        <w:t xml:space="preserve"> and the challenges the new fuels have created compared to the traditional oil spill response and the partially unknown effect on the environment. Norway </w:t>
      </w:r>
      <w:r w:rsidR="003C2809" w:rsidRPr="00866FFA">
        <w:rPr>
          <w:rFonts w:eastAsia="Calibri"/>
        </w:rPr>
        <w:t xml:space="preserve">had </w:t>
      </w:r>
      <w:r w:rsidRPr="00866FFA">
        <w:rPr>
          <w:rFonts w:eastAsia="Calibri"/>
        </w:rPr>
        <w:t>proposed to establish an intersessional correspondence group (ICG) to develop a project proposal and application to the European Union for funding for a project that could give the countries better knowledge and preparedness for spills with new fuel types</w:t>
      </w:r>
      <w:r w:rsidR="003C2809" w:rsidRPr="00866FFA">
        <w:rPr>
          <w:rFonts w:eastAsia="Calibri"/>
        </w:rPr>
        <w:t>, which OTSOPA had supported</w:t>
      </w:r>
      <w:r w:rsidRPr="00866FFA">
        <w:rPr>
          <w:rFonts w:eastAsia="Calibri"/>
        </w:rPr>
        <w:t>.</w:t>
      </w:r>
    </w:p>
    <w:p w14:paraId="0A66DDC7" w14:textId="77777777" w:rsidR="00BA5567" w:rsidRPr="00866FFA" w:rsidRDefault="00BA5567" w:rsidP="00866FFA">
      <w:r w:rsidRPr="00866FFA">
        <w:t>3.</w:t>
      </w:r>
      <w:r w:rsidR="008F5988" w:rsidRPr="00866FFA">
        <w:t>14</w:t>
      </w:r>
      <w:r w:rsidRPr="00866FFA">
        <w:tab/>
        <w:t xml:space="preserve">In discussion Contracting Parties noted their support for the project. The European Union informed </w:t>
      </w:r>
      <w:r w:rsidR="008F5988" w:rsidRPr="00866FFA">
        <w:t xml:space="preserve">the meeting </w:t>
      </w:r>
      <w:r w:rsidRPr="00866FFA">
        <w:t xml:space="preserve">that the call for proposals would be published late 2018/early 2019 with submission around March 2019. The EU stressed the importance that rationale </w:t>
      </w:r>
      <w:r w:rsidR="008F5988" w:rsidRPr="00866FFA">
        <w:t xml:space="preserve">and </w:t>
      </w:r>
      <w:r w:rsidRPr="00866FFA">
        <w:t>reasoning for the project was clear</w:t>
      </w:r>
      <w:r w:rsidR="003C2809" w:rsidRPr="00866FFA">
        <w:t>,</w:t>
      </w:r>
      <w:r w:rsidRPr="00866FFA">
        <w:t xml:space="preserve"> as proposals were read by non-technical people.</w:t>
      </w:r>
    </w:p>
    <w:p w14:paraId="2756DA3C" w14:textId="77777777" w:rsidR="00BD4499" w:rsidRPr="00866FFA" w:rsidRDefault="003C2809" w:rsidP="00866FFA">
      <w:pPr>
        <w:rPr>
          <w:i/>
          <w:lang w:eastAsia="en-GB"/>
        </w:rPr>
      </w:pPr>
      <w:r w:rsidRPr="00866FFA">
        <w:rPr>
          <w:i/>
          <w:lang w:eastAsia="en-GB"/>
        </w:rPr>
        <w:t>E</w:t>
      </w:r>
      <w:r w:rsidR="00BD4499" w:rsidRPr="00866FFA">
        <w:rPr>
          <w:i/>
          <w:lang w:eastAsia="en-GB"/>
        </w:rPr>
        <w:t>-URready4OS Project and on Exercise “CORKEX 2018”</w:t>
      </w:r>
    </w:p>
    <w:p w14:paraId="49FEF973" w14:textId="737045B3" w:rsidR="00E3494F" w:rsidRPr="00866FFA" w:rsidRDefault="00E3494F" w:rsidP="00866FFA">
      <w:pPr>
        <w:pStyle w:val="BodyText"/>
      </w:pPr>
      <w:r w:rsidRPr="00866FFA">
        <w:t>3.</w:t>
      </w:r>
      <w:r w:rsidR="008F5988" w:rsidRPr="00866FFA">
        <w:t>15</w:t>
      </w:r>
      <w:r w:rsidRPr="00866FFA">
        <w:tab/>
        <w:t>Ireland presented BONN 18/3/1</w:t>
      </w:r>
      <w:r w:rsidR="003C2809" w:rsidRPr="00866FFA">
        <w:t>4</w:t>
      </w:r>
      <w:r w:rsidR="00E8352A" w:rsidRPr="00866FFA">
        <w:t xml:space="preserve"> and Bonn 18/03/P01</w:t>
      </w:r>
      <w:r w:rsidRPr="00866FFA">
        <w:t xml:space="preserve"> on e-URready4OS: ‘Expanded underwater robotics ready for oil spill’, the main goal of which was to gather a trained fleet of autonomous underwater vehicles for detection and tracking of surface oil plumes. </w:t>
      </w:r>
      <w:r w:rsidR="003C2809" w:rsidRPr="00866FFA">
        <w:rPr>
          <w:color w:val="000000" w:themeColor="text1"/>
        </w:rPr>
        <w:t>Ireland noted that the robotics used in the project were more applicable for the conditions in the Mediterr</w:t>
      </w:r>
      <w:r w:rsidR="008F5988" w:rsidRPr="00866FFA">
        <w:rPr>
          <w:color w:val="000000" w:themeColor="text1"/>
        </w:rPr>
        <w:t>an</w:t>
      </w:r>
      <w:r w:rsidR="003C2809" w:rsidRPr="00866FFA">
        <w:rPr>
          <w:color w:val="000000" w:themeColor="text1"/>
        </w:rPr>
        <w:t>ean than in Irish and Norwegian waters.</w:t>
      </w:r>
    </w:p>
    <w:p w14:paraId="55B49FD2" w14:textId="77777777" w:rsidR="00E3494F" w:rsidRPr="00866FFA" w:rsidRDefault="00E3494F" w:rsidP="00866FFA">
      <w:r w:rsidRPr="00866FFA">
        <w:t>3.</w:t>
      </w:r>
      <w:r w:rsidR="008F5988" w:rsidRPr="00866FFA">
        <w:t>16</w:t>
      </w:r>
      <w:r w:rsidRPr="00866FFA">
        <w:tab/>
        <w:t>BONN noted the presentation and requested the information be</w:t>
      </w:r>
      <w:r w:rsidR="008F5988" w:rsidRPr="00866FFA">
        <w:t xml:space="preserve"> made</w:t>
      </w:r>
      <w:r w:rsidRPr="00866FFA">
        <w:t xml:space="preserve"> available on the Bonn Agreement website.</w:t>
      </w:r>
    </w:p>
    <w:p w14:paraId="104155E6" w14:textId="3589170C" w:rsidR="004B2D02" w:rsidRPr="00866FFA" w:rsidRDefault="00444E2E" w:rsidP="00866FFA">
      <w:r w:rsidRPr="00866FFA">
        <w:t>3.</w:t>
      </w:r>
      <w:r w:rsidR="008F5988" w:rsidRPr="00866FFA">
        <w:t>17</w:t>
      </w:r>
      <w:r w:rsidRPr="00866FFA">
        <w:tab/>
      </w:r>
      <w:r w:rsidRPr="00866FFA">
        <w:rPr>
          <w:color w:val="000000" w:themeColor="text1"/>
        </w:rPr>
        <w:t>Ireland present</w:t>
      </w:r>
      <w:r w:rsidR="003B1E35" w:rsidRPr="00866FFA">
        <w:rPr>
          <w:color w:val="000000" w:themeColor="text1"/>
        </w:rPr>
        <w:t>ed</w:t>
      </w:r>
      <w:r w:rsidRPr="00866FFA">
        <w:rPr>
          <w:color w:val="000000" w:themeColor="text1"/>
        </w:rPr>
        <w:t xml:space="preserve"> </w:t>
      </w:r>
      <w:r w:rsidR="008F5988" w:rsidRPr="00866FFA">
        <w:rPr>
          <w:color w:val="000000" w:themeColor="text1"/>
        </w:rPr>
        <w:t xml:space="preserve">BONN </w:t>
      </w:r>
      <w:r w:rsidRPr="00866FFA">
        <w:rPr>
          <w:color w:val="000000" w:themeColor="text1"/>
        </w:rPr>
        <w:t>18/3/13 on EU Civil Protection mechanism</w:t>
      </w:r>
      <w:r w:rsidR="004B2D02" w:rsidRPr="00866FFA">
        <w:t>, including its Technical Expert Course on Maritime Incidents (TEC MI), and asked </w:t>
      </w:r>
      <w:r w:rsidR="004B2D02" w:rsidRPr="00866FFA">
        <w:rPr>
          <w:lang w:val="en-IE"/>
        </w:rPr>
        <w:t>BONN to work together with National Civil Protection POC to ensure that suitable maritime experts are identified and selected for the course.</w:t>
      </w:r>
    </w:p>
    <w:p w14:paraId="54A517FC" w14:textId="77777777" w:rsidR="003C2809" w:rsidRPr="00866FFA" w:rsidRDefault="003C2809" w:rsidP="00866FFA">
      <w:r w:rsidRPr="00866FFA">
        <w:t>3.</w:t>
      </w:r>
      <w:r w:rsidR="008F5988" w:rsidRPr="00866FFA">
        <w:t>18</w:t>
      </w:r>
      <w:r w:rsidRPr="00866FFA">
        <w:tab/>
        <w:t>BONN noted the presentation and requested the information be available on the Bonn Agreement website.</w:t>
      </w:r>
    </w:p>
    <w:p w14:paraId="5C960A11" w14:textId="3D237E37" w:rsidR="00146CE7" w:rsidRPr="00866FFA" w:rsidRDefault="00B30406" w:rsidP="00866FFA">
      <w:r w:rsidRPr="00866FFA">
        <w:lastRenderedPageBreak/>
        <w:t>3.</w:t>
      </w:r>
      <w:r w:rsidR="008F5988" w:rsidRPr="00866FFA">
        <w:t>19</w:t>
      </w:r>
      <w:r w:rsidR="003C2809" w:rsidRPr="00866FFA">
        <w:tab/>
        <w:t xml:space="preserve">Sweden presented </w:t>
      </w:r>
      <w:r w:rsidR="008F5988" w:rsidRPr="00866FFA">
        <w:t xml:space="preserve">BONN </w:t>
      </w:r>
      <w:r w:rsidR="00E8352A" w:rsidRPr="00866FFA">
        <w:t xml:space="preserve">18/3/P02, </w:t>
      </w:r>
      <w:r w:rsidR="003C2809" w:rsidRPr="00866FFA">
        <w:t>an</w:t>
      </w:r>
      <w:r w:rsidRPr="00866FFA">
        <w:t xml:space="preserve"> update from Sweden on the out</w:t>
      </w:r>
      <w:r w:rsidR="003C2809" w:rsidRPr="00866FFA">
        <w:t xml:space="preserve">come of the BALEX </w:t>
      </w:r>
      <w:r w:rsidR="00032B05" w:rsidRPr="00866FFA">
        <w:t xml:space="preserve">Delta </w:t>
      </w:r>
      <w:r w:rsidR="003C2809" w:rsidRPr="00866FFA">
        <w:t>2018 exercise.</w:t>
      </w:r>
      <w:r w:rsidR="006F2C64" w:rsidRPr="00866FFA">
        <w:t xml:space="preserve"> The exercise involved loss of containers with HNS and the chemicals reaching sensitive shoreline habitats. The expected outcomes are an improved response capacity, information exchange analysis with a focus on Host Nation Support and a general evaluation report with recom</w:t>
      </w:r>
      <w:r w:rsidR="008F5988" w:rsidRPr="00866FFA">
        <w:t>m</w:t>
      </w:r>
      <w:r w:rsidR="006F2C64" w:rsidRPr="00866FFA">
        <w:t>en</w:t>
      </w:r>
      <w:r w:rsidR="008F5988" w:rsidRPr="00866FFA">
        <w:t>dation</w:t>
      </w:r>
      <w:r w:rsidR="006F2C64" w:rsidRPr="00866FFA">
        <w:t xml:space="preserve"> for HELCOM and DG ECHO. </w:t>
      </w:r>
    </w:p>
    <w:p w14:paraId="030D211F" w14:textId="77777777" w:rsidR="003C2809" w:rsidRPr="00866FFA" w:rsidRDefault="003C2809" w:rsidP="00866FFA">
      <w:r w:rsidRPr="00866FFA">
        <w:t>3.</w:t>
      </w:r>
      <w:r w:rsidR="008F5988" w:rsidRPr="00866FFA">
        <w:t>20</w:t>
      </w:r>
      <w:r w:rsidRPr="00866FFA">
        <w:tab/>
        <w:t xml:space="preserve">BONN noted the presentation and requested the information be </w:t>
      </w:r>
      <w:r w:rsidR="008F5988" w:rsidRPr="00866FFA">
        <w:t xml:space="preserve">made </w:t>
      </w:r>
      <w:r w:rsidRPr="00866FFA">
        <w:t>available on the Bonn Agreement website.</w:t>
      </w:r>
    </w:p>
    <w:p w14:paraId="29BC47CD" w14:textId="77777777" w:rsidR="006D4CF2" w:rsidRPr="00866FFA" w:rsidRDefault="003C2809" w:rsidP="00866FFA">
      <w:r w:rsidRPr="00866FFA">
        <w:t>3.</w:t>
      </w:r>
      <w:r w:rsidR="008F5988" w:rsidRPr="00866FFA">
        <w:t>21</w:t>
      </w:r>
      <w:r w:rsidRPr="00866FFA">
        <w:tab/>
      </w:r>
      <w:r w:rsidR="006D4CF2" w:rsidRPr="00866FFA">
        <w:t>Denmark presented</w:t>
      </w:r>
      <w:r w:rsidR="00F446A0" w:rsidRPr="00866FFA">
        <w:t xml:space="preserve"> </w:t>
      </w:r>
      <w:r w:rsidR="008F5988" w:rsidRPr="00866FFA">
        <w:t>BONN</w:t>
      </w:r>
      <w:r w:rsidR="00F446A0" w:rsidRPr="00866FFA">
        <w:t xml:space="preserve"> 18/3/P03</w:t>
      </w:r>
      <w:r w:rsidR="008F5988" w:rsidRPr="00866FFA">
        <w:t>,</w:t>
      </w:r>
      <w:r w:rsidR="006D4CF2" w:rsidRPr="00866FFA">
        <w:t xml:space="preserve"> a proposal for a more systematic approach to pollution response exercises, focusing on meeting the training requirements of the participants (vessels and aircraft crews and teams), in addition to meeting the organisation</w:t>
      </w:r>
      <w:r w:rsidR="008F5988" w:rsidRPr="00866FFA">
        <w:t>’</w:t>
      </w:r>
      <w:r w:rsidR="006D4CF2" w:rsidRPr="00866FFA">
        <w:t xml:space="preserve">s requirements in any given exercise scenario. The aim was to ensure a measurable training outcome for the participants from the various at-sea pollution response exercises. </w:t>
      </w:r>
      <w:r w:rsidRPr="00866FFA">
        <w:t>It was noted that the proposal had been presented at the inter-</w:t>
      </w:r>
      <w:r w:rsidR="008F5988" w:rsidRPr="00866FFA">
        <w:t xml:space="preserve">secretariat </w:t>
      </w:r>
      <w:r w:rsidRPr="00866FFA">
        <w:t xml:space="preserve">meeting, February 2018, </w:t>
      </w:r>
      <w:r w:rsidR="008F5988" w:rsidRPr="00866FFA">
        <w:t xml:space="preserve">the </w:t>
      </w:r>
      <w:r w:rsidRPr="00866FFA">
        <w:t xml:space="preserve">Arctic Council, and </w:t>
      </w:r>
      <w:r w:rsidR="008F5988" w:rsidRPr="00866FFA">
        <w:t xml:space="preserve">at </w:t>
      </w:r>
      <w:r w:rsidRPr="00866FFA">
        <w:t>OTSOPA 2018</w:t>
      </w:r>
      <w:r w:rsidR="008F5988" w:rsidRPr="00866FFA">
        <w:t>.</w:t>
      </w:r>
    </w:p>
    <w:p w14:paraId="2FDA8E9C" w14:textId="75EFEBAC" w:rsidR="00C61E20" w:rsidRPr="00866FFA" w:rsidRDefault="003C2809" w:rsidP="00866FFA">
      <w:pPr>
        <w:pStyle w:val="BodyText"/>
      </w:pPr>
      <w:r w:rsidRPr="00866FFA">
        <w:t>3.</w:t>
      </w:r>
      <w:r w:rsidR="008F5988" w:rsidRPr="00866FFA">
        <w:t>22</w:t>
      </w:r>
      <w:r w:rsidRPr="00866FFA">
        <w:tab/>
        <w:t xml:space="preserve">BONN noted the presentation, and that the proposed manual would be </w:t>
      </w:r>
      <w:r w:rsidR="00D52F5F" w:rsidRPr="00866FFA">
        <w:rPr>
          <w:b/>
        </w:rPr>
        <w:t>considered by OTSOPA for addition in its programme of work for 2020</w:t>
      </w:r>
    </w:p>
    <w:p w14:paraId="6E9DC2DF" w14:textId="77777777" w:rsidR="003C2809" w:rsidRPr="00866FFA" w:rsidRDefault="003C2809" w:rsidP="00866FFA">
      <w:pPr>
        <w:pStyle w:val="BodyText"/>
        <w:rPr>
          <w:i/>
          <w:color w:val="000000" w:themeColor="text1"/>
        </w:rPr>
      </w:pPr>
      <w:r w:rsidRPr="00866FFA">
        <w:rPr>
          <w:i/>
        </w:rPr>
        <w:t>Voluntary delivery of washwater with paraffin residues at a port reception facility</w:t>
      </w:r>
    </w:p>
    <w:p w14:paraId="3549DACD" w14:textId="77777777" w:rsidR="000515C1" w:rsidRPr="00866FFA" w:rsidRDefault="003C2809" w:rsidP="00866FFA">
      <w:r w:rsidRPr="00866FFA">
        <w:t>3</w:t>
      </w:r>
      <w:r w:rsidR="008E6E3C" w:rsidRPr="00866FFA">
        <w:t>.</w:t>
      </w:r>
      <w:r w:rsidR="008F5988" w:rsidRPr="00866FFA">
        <w:t>23</w:t>
      </w:r>
      <w:r w:rsidR="008E6E3C" w:rsidRPr="00866FFA">
        <w:tab/>
      </w:r>
      <w:r w:rsidR="000515C1" w:rsidRPr="00866FFA">
        <w:t xml:space="preserve">The Netherlands presented </w:t>
      </w:r>
      <w:r w:rsidRPr="00866FFA">
        <w:t>BONN 18/3/10</w:t>
      </w:r>
      <w:r w:rsidR="000515C1" w:rsidRPr="00866FFA">
        <w:t xml:space="preserve">, a memorandum between the State and commercial parties regarding pre-wash and hand off paraffin washwater in </w:t>
      </w:r>
      <w:r w:rsidR="008F5988" w:rsidRPr="00866FFA">
        <w:t xml:space="preserve">the </w:t>
      </w:r>
      <w:r w:rsidR="000515C1" w:rsidRPr="00866FFA">
        <w:t>Netherlands. Ships may, according to the MARPOL Treaty Annex II of the IMO, conditionally discharge the washing water with which they clean their tanks after delivery of paraffin and which contains paraffin residues. These paraffins are harmful to marine ecosystems and could lead to high clean-up costs at the expense of the Dutch state after washing ashore.</w:t>
      </w:r>
    </w:p>
    <w:p w14:paraId="6D5BB2A0" w14:textId="77777777" w:rsidR="003335A3" w:rsidRPr="00866FFA" w:rsidRDefault="003335A3" w:rsidP="00866FFA">
      <w:r w:rsidRPr="00866FFA">
        <w:t>3.</w:t>
      </w:r>
      <w:r w:rsidR="008F5988" w:rsidRPr="00866FFA">
        <w:t>24</w:t>
      </w:r>
      <w:r w:rsidRPr="00866FFA">
        <w:tab/>
        <w:t>BONN</w:t>
      </w:r>
      <w:r w:rsidR="000515C1" w:rsidRPr="00866FFA">
        <w:t xml:space="preserve"> noted the information from the Netherlands</w:t>
      </w:r>
      <w:r w:rsidRPr="00866FFA">
        <w:t>, and the ongoing work in IMO on en-route discussions.</w:t>
      </w:r>
    </w:p>
    <w:p w14:paraId="71E0A141" w14:textId="77777777" w:rsidR="00B30406" w:rsidRPr="00866FFA" w:rsidRDefault="003335A3" w:rsidP="00866FFA">
      <w:pPr>
        <w:pStyle w:val="BodyText"/>
        <w:rPr>
          <w:i/>
        </w:rPr>
      </w:pPr>
      <w:r w:rsidRPr="00866FFA">
        <w:rPr>
          <w:i/>
        </w:rPr>
        <w:t xml:space="preserve">Assessing the environmental impact of a ‘significant acute pollution’ </w:t>
      </w:r>
    </w:p>
    <w:p w14:paraId="519721A4" w14:textId="6CC2E636" w:rsidR="003335A3" w:rsidRPr="00866FFA" w:rsidRDefault="003335A3" w:rsidP="00866FFA">
      <w:r w:rsidRPr="00866FFA">
        <w:t>3</w:t>
      </w:r>
      <w:r w:rsidR="008A22A1" w:rsidRPr="00866FFA">
        <w:t>.</w:t>
      </w:r>
      <w:r w:rsidR="008F5988" w:rsidRPr="00866FFA">
        <w:t>25</w:t>
      </w:r>
      <w:r w:rsidRPr="00866FFA">
        <w:tab/>
      </w:r>
      <w:r w:rsidR="008A22A1" w:rsidRPr="00866FFA">
        <w:t xml:space="preserve">Belgium presented </w:t>
      </w:r>
      <w:r w:rsidRPr="00866FFA">
        <w:t>BONN 18/3/11</w:t>
      </w:r>
      <w:r w:rsidR="00303559" w:rsidRPr="00866FFA">
        <w:t xml:space="preserve"> and B</w:t>
      </w:r>
      <w:r w:rsidR="008F5988" w:rsidRPr="00866FFA">
        <w:t>ONN</w:t>
      </w:r>
      <w:r w:rsidR="00303559" w:rsidRPr="00866FFA">
        <w:t xml:space="preserve"> 18/03/P0</w:t>
      </w:r>
      <w:r w:rsidR="00F446A0" w:rsidRPr="00866FFA">
        <w:t>4</w:t>
      </w:r>
      <w:r w:rsidR="008A22A1" w:rsidRPr="00866FFA">
        <w:t xml:space="preserve">, which examined the term ‘significant acute pollution’ and suggested a region-wide approach for Contracting Parties’ related obligation under the MSFD to monitor and assess spill impact for ‘significant acute pollution’. The context of the EU Marine Strategy Framework Directive (MSFD) implies the obligation for EU Member States to monitor and assess environmental impact, the main goal being to achieve good environmental status (GES) by 2020. </w:t>
      </w:r>
      <w:r w:rsidRPr="00866FFA">
        <w:t xml:space="preserve">Belgium was of the </w:t>
      </w:r>
      <w:r w:rsidR="00E8352A" w:rsidRPr="00866FFA">
        <w:t>impression that</w:t>
      </w:r>
      <w:r w:rsidRPr="00866FFA">
        <w:t xml:space="preserve"> </w:t>
      </w:r>
      <w:r w:rsidR="00B22247" w:rsidRPr="00866FFA">
        <w:t xml:space="preserve">the Bonn Agreement </w:t>
      </w:r>
      <w:r w:rsidRPr="00866FFA">
        <w:t>was the most appropriate forum to monitor and respond to acute pollution events, to define what a significant acute pollution</w:t>
      </w:r>
      <w:r w:rsidR="00D52F5F" w:rsidRPr="00866FFA">
        <w:t xml:space="preserve"> is, and</w:t>
      </w:r>
      <w:r w:rsidRPr="00866FFA">
        <w:t xml:space="preserve"> to agree upon</w:t>
      </w:r>
      <w:r w:rsidR="003D2CE1" w:rsidRPr="00866FFA">
        <w:t xml:space="preserve"> </w:t>
      </w:r>
      <w:r w:rsidRPr="00866FFA">
        <w:t xml:space="preserve">and implement a coherent approach on spill impact monitoring and assessment. It was further </w:t>
      </w:r>
      <w:r w:rsidR="00E8352A" w:rsidRPr="00866FFA">
        <w:t>highlighted</w:t>
      </w:r>
      <w:r w:rsidRPr="00866FFA">
        <w:t xml:space="preserve"> that this could be an area </w:t>
      </w:r>
      <w:r w:rsidR="00B22247" w:rsidRPr="00866FFA">
        <w:t xml:space="preserve">for </w:t>
      </w:r>
      <w:r w:rsidRPr="00866FFA">
        <w:t>closer cooperation with OSPAR.</w:t>
      </w:r>
    </w:p>
    <w:p w14:paraId="2DF26121" w14:textId="1031246B" w:rsidR="003335A3" w:rsidRPr="00866FFA" w:rsidRDefault="003335A3" w:rsidP="00866FFA">
      <w:r w:rsidRPr="00866FFA">
        <w:t>3.</w:t>
      </w:r>
      <w:r w:rsidR="00B22247" w:rsidRPr="00866FFA">
        <w:t>26</w:t>
      </w:r>
      <w:r w:rsidR="008A22A1" w:rsidRPr="00866FFA">
        <w:tab/>
        <w:t xml:space="preserve">In discussion Contracting Parties noted the importance of the monitoring after ‘significant acute pollution’, </w:t>
      </w:r>
      <w:r w:rsidR="002F36CB" w:rsidRPr="00866FFA">
        <w:t xml:space="preserve">but </w:t>
      </w:r>
      <w:r w:rsidRPr="00866FFA">
        <w:t xml:space="preserve">this was ongoing activity in their countries. However there was uncertainty whether a regional approach as mentioned in the directive </w:t>
      </w:r>
      <w:r w:rsidR="002F36CB" w:rsidRPr="00866FFA">
        <w:t xml:space="preserve">of </w:t>
      </w:r>
      <w:r w:rsidRPr="00866FFA">
        <w:t>the European Commission was relevant for the Bonn Agreement. It was noted from a Contracting Party that monitoring after a spill</w:t>
      </w:r>
      <w:r w:rsidR="00032B05" w:rsidRPr="00866FFA">
        <w:t xml:space="preserve"> including </w:t>
      </w:r>
      <w:r w:rsidRPr="00866FFA">
        <w:t xml:space="preserve">response was reported to IMO every year. </w:t>
      </w:r>
    </w:p>
    <w:p w14:paraId="4684EC94" w14:textId="0C0697D0" w:rsidR="008A22A1" w:rsidRPr="00866FFA" w:rsidRDefault="003335A3" w:rsidP="00866FFA">
      <w:pPr>
        <w:rPr>
          <w:rFonts w:eastAsia="Calibri"/>
        </w:rPr>
      </w:pPr>
      <w:r w:rsidRPr="00866FFA">
        <w:rPr>
          <w:rFonts w:eastAsia="Calibri"/>
        </w:rPr>
        <w:t>3.</w:t>
      </w:r>
      <w:r w:rsidR="00B22247" w:rsidRPr="00866FFA">
        <w:rPr>
          <w:rFonts w:eastAsia="Calibri"/>
        </w:rPr>
        <w:t>27</w:t>
      </w:r>
      <w:r w:rsidRPr="00866FFA">
        <w:rPr>
          <w:rFonts w:eastAsia="Calibri"/>
        </w:rPr>
        <w:tab/>
      </w:r>
      <w:r w:rsidRPr="00866FFA">
        <w:rPr>
          <w:rFonts w:eastAsia="Calibri"/>
          <w:b/>
        </w:rPr>
        <w:t>BONN agreed</w:t>
      </w:r>
      <w:r w:rsidRPr="00866FFA">
        <w:rPr>
          <w:rFonts w:eastAsia="Calibri"/>
        </w:rPr>
        <w:t xml:space="preserve"> that the Secretariat would contact the European Commission for a definition of regional </w:t>
      </w:r>
      <w:r w:rsidR="0060013C" w:rsidRPr="00866FFA">
        <w:rPr>
          <w:rFonts w:eastAsia="Calibri"/>
        </w:rPr>
        <w:t>approach</w:t>
      </w:r>
      <w:r w:rsidRPr="00866FFA">
        <w:rPr>
          <w:rFonts w:eastAsia="Calibri"/>
        </w:rPr>
        <w:t>, and that Contracting Parties would</w:t>
      </w:r>
      <w:r w:rsidR="00D52F5F" w:rsidRPr="00866FFA">
        <w:rPr>
          <w:rFonts w:eastAsia="Calibri"/>
        </w:rPr>
        <w:t>, at the next meeting of OTSOPA,</w:t>
      </w:r>
      <w:r w:rsidRPr="00866FFA">
        <w:rPr>
          <w:rFonts w:eastAsia="Calibri"/>
        </w:rPr>
        <w:t xml:space="preserve"> report back on their national reporting on </w:t>
      </w:r>
      <w:r w:rsidR="00B22247" w:rsidRPr="00866FFA">
        <w:rPr>
          <w:rFonts w:eastAsia="Calibri"/>
        </w:rPr>
        <w:t xml:space="preserve">Descriptor </w:t>
      </w:r>
      <w:r w:rsidRPr="00866FFA">
        <w:rPr>
          <w:rFonts w:eastAsia="Calibri"/>
        </w:rPr>
        <w:t xml:space="preserve">8 </w:t>
      </w:r>
      <w:r w:rsidR="00B22247" w:rsidRPr="00866FFA">
        <w:rPr>
          <w:rFonts w:eastAsia="Calibri"/>
        </w:rPr>
        <w:t xml:space="preserve">of the MSFD </w:t>
      </w:r>
      <w:r w:rsidRPr="00866FFA">
        <w:rPr>
          <w:rFonts w:eastAsia="Calibri"/>
        </w:rPr>
        <w:t>to the European Commission</w:t>
      </w:r>
      <w:r w:rsidR="008A22A1" w:rsidRPr="00866FFA">
        <w:t>.</w:t>
      </w:r>
    </w:p>
    <w:p w14:paraId="7474CF71" w14:textId="77777777" w:rsidR="003335A3" w:rsidRPr="00866FFA" w:rsidRDefault="003335A3" w:rsidP="00866FFA">
      <w:pPr>
        <w:rPr>
          <w:i/>
          <w:lang w:eastAsia="en-GB"/>
        </w:rPr>
      </w:pPr>
      <w:r w:rsidRPr="00866FFA">
        <w:rPr>
          <w:i/>
          <w:lang w:eastAsia="en-GB"/>
        </w:rPr>
        <w:t>Revised</w:t>
      </w:r>
      <w:r w:rsidR="00B30406" w:rsidRPr="00866FFA">
        <w:rPr>
          <w:i/>
          <w:lang w:eastAsia="en-GB"/>
        </w:rPr>
        <w:t xml:space="preserve"> schedule for CEPCO flights on </w:t>
      </w:r>
      <w:r w:rsidR="00B22247" w:rsidRPr="00866FFA">
        <w:rPr>
          <w:i/>
          <w:lang w:eastAsia="en-GB"/>
        </w:rPr>
        <w:t xml:space="preserve">advice </w:t>
      </w:r>
      <w:r w:rsidR="00B30406" w:rsidRPr="00866FFA">
        <w:rPr>
          <w:i/>
          <w:lang w:eastAsia="en-GB"/>
        </w:rPr>
        <w:t xml:space="preserve">from HELCOM </w:t>
      </w:r>
    </w:p>
    <w:p w14:paraId="40470E8C" w14:textId="77777777" w:rsidR="00146CE7" w:rsidRPr="00866FFA" w:rsidRDefault="003335A3" w:rsidP="00866FFA">
      <w:r w:rsidRPr="00866FFA">
        <w:lastRenderedPageBreak/>
        <w:t>3.</w:t>
      </w:r>
      <w:r w:rsidR="00B22247" w:rsidRPr="00866FFA">
        <w:t>28</w:t>
      </w:r>
      <w:r w:rsidRPr="00866FFA">
        <w:tab/>
        <w:t xml:space="preserve">Germany presented BONN 18/3/12, </w:t>
      </w:r>
      <w:r w:rsidR="00085E82" w:rsidRPr="00866FFA">
        <w:t>the</w:t>
      </w:r>
      <w:r w:rsidR="008756F0" w:rsidRPr="00866FFA">
        <w:t xml:space="preserve"> </w:t>
      </w:r>
      <w:r w:rsidR="00146CE7" w:rsidRPr="00866FFA">
        <w:t>HELCOM Secretariat ha</w:t>
      </w:r>
      <w:r w:rsidR="00085E82" w:rsidRPr="00866FFA">
        <w:t>d</w:t>
      </w:r>
      <w:r w:rsidR="00146CE7" w:rsidRPr="00866FFA">
        <w:t xml:space="preserve"> proposed changes to the frequency with the Bonn Agreement </w:t>
      </w:r>
      <w:r w:rsidR="00085E82" w:rsidRPr="00866FFA">
        <w:t xml:space="preserve">for </w:t>
      </w:r>
      <w:r w:rsidR="00146CE7" w:rsidRPr="00866FFA">
        <w:t xml:space="preserve">the Super CEPCO flights. </w:t>
      </w:r>
      <w:r w:rsidR="00085E82" w:rsidRPr="00866FFA">
        <w:t>Resulting in</w:t>
      </w:r>
      <w:r w:rsidR="00146CE7" w:rsidRPr="00866FFA">
        <w:t xml:space="preserve"> Super CEPCO tak</w:t>
      </w:r>
      <w:r w:rsidR="00085E82" w:rsidRPr="00866FFA">
        <w:t>ing</w:t>
      </w:r>
      <w:r w:rsidR="00146CE7" w:rsidRPr="00866FFA">
        <w:t xml:space="preserve"> place in either the Baltic Sea or the North Sea every second year.  </w:t>
      </w:r>
    </w:p>
    <w:p w14:paraId="0105EB4D" w14:textId="77777777" w:rsidR="008756F0" w:rsidRPr="00866FFA" w:rsidRDefault="008756F0" w:rsidP="00866FFA">
      <w:r w:rsidRPr="00866FFA">
        <w:t>3.</w:t>
      </w:r>
      <w:r w:rsidR="00B22247" w:rsidRPr="00866FFA">
        <w:t>29</w:t>
      </w:r>
      <w:r w:rsidRPr="00866FFA">
        <w:tab/>
      </w:r>
      <w:r w:rsidRPr="006E4610">
        <w:rPr>
          <w:b/>
        </w:rPr>
        <w:t>BONN</w:t>
      </w:r>
      <w:r w:rsidRPr="00866FFA">
        <w:t xml:space="preserve"> </w:t>
      </w:r>
      <w:r w:rsidRPr="006E4610">
        <w:rPr>
          <w:b/>
        </w:rPr>
        <w:t xml:space="preserve">agreed </w:t>
      </w:r>
      <w:r w:rsidRPr="00866FFA">
        <w:t>on the updated CEPCO Schedule.</w:t>
      </w:r>
    </w:p>
    <w:p w14:paraId="5B20A5AA" w14:textId="6F519C5A" w:rsidR="00307AD9" w:rsidRPr="00866FFA" w:rsidRDefault="00BC15B3" w:rsidP="00866FFA">
      <w:pPr>
        <w:rPr>
          <w:i/>
          <w:lang w:eastAsia="en-GB"/>
        </w:rPr>
      </w:pPr>
      <w:r w:rsidRPr="00866FFA">
        <w:rPr>
          <w:i/>
          <w:lang w:eastAsia="en-GB"/>
        </w:rPr>
        <w:t>DenGerNeth &amp; Bonne</w:t>
      </w:r>
      <w:r w:rsidR="00032B05" w:rsidRPr="00866FFA">
        <w:rPr>
          <w:i/>
          <w:lang w:eastAsia="en-GB"/>
        </w:rPr>
        <w:t>x</w:t>
      </w:r>
      <w:r w:rsidRPr="00866FFA">
        <w:rPr>
          <w:i/>
          <w:lang w:eastAsia="en-GB"/>
        </w:rPr>
        <w:t xml:space="preserve"> Delta 2019</w:t>
      </w:r>
    </w:p>
    <w:p w14:paraId="0E80498C" w14:textId="484EC4F5" w:rsidR="008756F0" w:rsidRPr="00866FFA" w:rsidRDefault="00B22247" w:rsidP="00866FFA">
      <w:pPr>
        <w:rPr>
          <w:noProof/>
          <w:lang w:val="en-US"/>
        </w:rPr>
      </w:pPr>
      <w:r w:rsidRPr="00866FFA">
        <w:rPr>
          <w:noProof/>
          <w:lang w:val="en-US"/>
        </w:rPr>
        <w:t>3.30</w:t>
      </w:r>
      <w:r w:rsidRPr="00866FFA">
        <w:rPr>
          <w:noProof/>
          <w:lang w:val="en-US"/>
        </w:rPr>
        <w:tab/>
      </w:r>
      <w:r w:rsidR="008756F0" w:rsidRPr="00866FFA">
        <w:rPr>
          <w:noProof/>
          <w:lang w:val="en-US"/>
        </w:rPr>
        <w:t>Germany presented BONN 18/3/1</w:t>
      </w:r>
      <w:r w:rsidR="00CD390E" w:rsidRPr="00866FFA">
        <w:rPr>
          <w:noProof/>
          <w:lang w:val="en-US"/>
        </w:rPr>
        <w:t>5</w:t>
      </w:r>
      <w:r w:rsidR="008756F0" w:rsidRPr="00866FFA">
        <w:rPr>
          <w:noProof/>
          <w:lang w:val="en-US"/>
        </w:rPr>
        <w:t xml:space="preserve"> on the </w:t>
      </w:r>
      <w:r w:rsidR="00CD390E" w:rsidRPr="00866FFA">
        <w:rPr>
          <w:noProof/>
          <w:lang w:val="en-US"/>
        </w:rPr>
        <w:t xml:space="preserve">proposed dates for 2019 </w:t>
      </w:r>
      <w:r w:rsidR="008756F0" w:rsidRPr="00866FFA">
        <w:rPr>
          <w:noProof/>
          <w:lang w:val="en-US"/>
        </w:rPr>
        <w:t xml:space="preserve">DenGerNeth </w:t>
      </w:r>
      <w:r w:rsidRPr="00866FFA">
        <w:rPr>
          <w:noProof/>
          <w:lang w:val="en-US"/>
        </w:rPr>
        <w:t>exercise</w:t>
      </w:r>
      <w:r w:rsidR="00085E82" w:rsidRPr="00866FFA">
        <w:rPr>
          <w:noProof/>
          <w:lang w:val="en-US"/>
        </w:rPr>
        <w:t xml:space="preserve"> and </w:t>
      </w:r>
      <w:r w:rsidR="00CD390E" w:rsidRPr="00866FFA">
        <w:rPr>
          <w:noProof/>
          <w:lang w:val="en-US"/>
        </w:rPr>
        <w:t xml:space="preserve">BONNEX Delta. Germany </w:t>
      </w:r>
      <w:r w:rsidR="00085E82" w:rsidRPr="00866FFA">
        <w:rPr>
          <w:noProof/>
          <w:lang w:val="en-US"/>
        </w:rPr>
        <w:t>requested Cont</w:t>
      </w:r>
      <w:r w:rsidR="00032B05" w:rsidRPr="00866FFA">
        <w:rPr>
          <w:noProof/>
          <w:lang w:val="en-US"/>
        </w:rPr>
        <w:t>r</w:t>
      </w:r>
      <w:r w:rsidR="00085E82" w:rsidRPr="00866FFA">
        <w:rPr>
          <w:noProof/>
          <w:lang w:val="en-US"/>
        </w:rPr>
        <w:t>a</w:t>
      </w:r>
      <w:r w:rsidR="00032B05" w:rsidRPr="00866FFA">
        <w:rPr>
          <w:noProof/>
          <w:lang w:val="en-US"/>
        </w:rPr>
        <w:t>c</w:t>
      </w:r>
      <w:r w:rsidR="00085E82" w:rsidRPr="00866FFA">
        <w:rPr>
          <w:noProof/>
          <w:lang w:val="en-US"/>
        </w:rPr>
        <w:t xml:space="preserve">ting Parties to </w:t>
      </w:r>
      <w:r w:rsidR="008756F0" w:rsidRPr="00866FFA">
        <w:rPr>
          <w:noProof/>
          <w:lang w:val="en-US"/>
        </w:rPr>
        <w:t xml:space="preserve">inform </w:t>
      </w:r>
      <w:r w:rsidR="00CD390E" w:rsidRPr="00866FFA">
        <w:rPr>
          <w:noProof/>
          <w:lang w:val="en-US"/>
        </w:rPr>
        <w:t xml:space="preserve">Germany and </w:t>
      </w:r>
      <w:r w:rsidR="00085E82" w:rsidRPr="00866FFA">
        <w:rPr>
          <w:noProof/>
          <w:lang w:val="en-US"/>
        </w:rPr>
        <w:t xml:space="preserve">the Secretariat </w:t>
      </w:r>
      <w:r w:rsidR="008756F0" w:rsidRPr="00866FFA">
        <w:rPr>
          <w:noProof/>
          <w:lang w:val="en-US"/>
        </w:rPr>
        <w:t xml:space="preserve">about </w:t>
      </w:r>
      <w:r w:rsidR="00085E82" w:rsidRPr="00866FFA">
        <w:rPr>
          <w:noProof/>
          <w:lang w:val="en-US"/>
        </w:rPr>
        <w:t xml:space="preserve">their </w:t>
      </w:r>
      <w:r w:rsidR="008756F0" w:rsidRPr="00866FFA">
        <w:rPr>
          <w:noProof/>
          <w:lang w:val="en-US"/>
        </w:rPr>
        <w:t>participa</w:t>
      </w:r>
      <w:r w:rsidR="00085E82" w:rsidRPr="00866FFA">
        <w:rPr>
          <w:noProof/>
          <w:lang w:val="en-US"/>
        </w:rPr>
        <w:t xml:space="preserve">tion </w:t>
      </w:r>
      <w:r w:rsidR="00CD390E" w:rsidRPr="00866FFA">
        <w:rPr>
          <w:noProof/>
          <w:lang w:val="en-US"/>
        </w:rPr>
        <w:t xml:space="preserve">and training requirements </w:t>
      </w:r>
      <w:r w:rsidR="00085E82" w:rsidRPr="00866FFA">
        <w:rPr>
          <w:noProof/>
          <w:lang w:val="en-US"/>
        </w:rPr>
        <w:t xml:space="preserve">by 30 </w:t>
      </w:r>
      <w:r w:rsidR="008756F0" w:rsidRPr="00866FFA">
        <w:rPr>
          <w:noProof/>
          <w:lang w:val="en-US"/>
        </w:rPr>
        <w:t xml:space="preserve"> November</w:t>
      </w:r>
      <w:r w:rsidR="00085E82" w:rsidRPr="00866FFA">
        <w:rPr>
          <w:noProof/>
          <w:lang w:val="en-US"/>
        </w:rPr>
        <w:t xml:space="preserve"> 2018</w:t>
      </w:r>
      <w:r w:rsidR="008756F0" w:rsidRPr="00866FFA">
        <w:rPr>
          <w:noProof/>
          <w:lang w:val="en-US"/>
        </w:rPr>
        <w:t>.</w:t>
      </w:r>
    </w:p>
    <w:p w14:paraId="6A92362E" w14:textId="10E6CBAA" w:rsidR="008756F0" w:rsidRPr="00866FFA" w:rsidRDefault="008756F0" w:rsidP="00866FFA">
      <w:pPr>
        <w:rPr>
          <w:noProof/>
          <w:lang w:val="en-US"/>
        </w:rPr>
      </w:pPr>
      <w:r w:rsidRPr="00866FFA">
        <w:rPr>
          <w:noProof/>
          <w:lang w:val="en-US"/>
        </w:rPr>
        <w:t>3.</w:t>
      </w:r>
      <w:r w:rsidR="00B22247" w:rsidRPr="00866FFA">
        <w:rPr>
          <w:noProof/>
          <w:lang w:val="en-US"/>
        </w:rPr>
        <w:t>31</w:t>
      </w:r>
      <w:r w:rsidRPr="00866FFA">
        <w:rPr>
          <w:noProof/>
          <w:lang w:val="en-US"/>
        </w:rPr>
        <w:tab/>
        <w:t xml:space="preserve">BONN noted the information  </w:t>
      </w:r>
      <w:r w:rsidR="00CD390E" w:rsidRPr="00866FFA">
        <w:rPr>
          <w:noProof/>
          <w:lang w:val="en-US"/>
        </w:rPr>
        <w:t xml:space="preserve">on </w:t>
      </w:r>
      <w:r w:rsidRPr="00866FFA">
        <w:rPr>
          <w:noProof/>
          <w:lang w:val="en-US"/>
        </w:rPr>
        <w:t xml:space="preserve">the </w:t>
      </w:r>
      <w:r w:rsidR="00CD390E" w:rsidRPr="00866FFA">
        <w:rPr>
          <w:noProof/>
          <w:lang w:val="en-US"/>
        </w:rPr>
        <w:t xml:space="preserve">proposed dates for </w:t>
      </w:r>
      <w:r w:rsidRPr="00866FFA">
        <w:rPr>
          <w:noProof/>
          <w:lang w:val="en-US"/>
        </w:rPr>
        <w:t>DenGerNeth exersise</w:t>
      </w:r>
      <w:r w:rsidR="00CD390E" w:rsidRPr="00866FFA">
        <w:rPr>
          <w:noProof/>
          <w:lang w:val="en-US"/>
        </w:rPr>
        <w:t xml:space="preserve"> 2019 and BONNEX Delta 2019</w:t>
      </w:r>
      <w:r w:rsidRPr="00866FFA">
        <w:rPr>
          <w:noProof/>
          <w:lang w:val="en-US"/>
        </w:rPr>
        <w:t>.</w:t>
      </w:r>
    </w:p>
    <w:p w14:paraId="06357701" w14:textId="77777777" w:rsidR="00BD235B" w:rsidRPr="00866FFA" w:rsidRDefault="00BD235B" w:rsidP="00866FFA">
      <w:pPr>
        <w:pStyle w:val="Heading2"/>
      </w:pPr>
      <w:bookmarkStart w:id="18" w:name="_Toc529533067"/>
      <w:r w:rsidRPr="00866FFA">
        <w:t xml:space="preserve">Agenda Item </w:t>
      </w:r>
      <w:r w:rsidR="002D3383" w:rsidRPr="00866FFA">
        <w:t>4</w:t>
      </w:r>
      <w:r w:rsidRPr="00866FFA">
        <w:t xml:space="preserve"> – Reports on pollution incidents</w:t>
      </w:r>
      <w:bookmarkEnd w:id="18"/>
    </w:p>
    <w:p w14:paraId="4C23113E" w14:textId="77777777" w:rsidR="00E8352A" w:rsidRPr="00866FFA" w:rsidRDefault="00B22247" w:rsidP="00866FFA">
      <w:r w:rsidRPr="00866FFA">
        <w:t>4.1</w:t>
      </w:r>
      <w:r w:rsidRPr="00866FFA">
        <w:tab/>
      </w:r>
      <w:r w:rsidR="00E8352A" w:rsidRPr="00866FFA">
        <w:t>France presented</w:t>
      </w:r>
      <w:r w:rsidR="007E62AA" w:rsidRPr="00866FFA">
        <w:t xml:space="preserve"> </w:t>
      </w:r>
      <w:r w:rsidRPr="00866FFA">
        <w:t xml:space="preserve">BONN </w:t>
      </w:r>
      <w:r w:rsidR="00E8352A" w:rsidRPr="00866FFA">
        <w:t>18/4/P01</w:t>
      </w:r>
      <w:r w:rsidR="007E62AA" w:rsidRPr="00866FFA">
        <w:t xml:space="preserve"> regarding pollution from wax paraffin and options for mitigating and responding to it. It was noted that the amounts found on beaches seem to be higher than those allowed under MARPOL.</w:t>
      </w:r>
    </w:p>
    <w:p w14:paraId="785953FB" w14:textId="55AADE72" w:rsidR="00E8352A" w:rsidRPr="00866FFA" w:rsidRDefault="00B22247" w:rsidP="00866FFA">
      <w:r w:rsidRPr="00866FFA">
        <w:t>4.2</w:t>
      </w:r>
      <w:r w:rsidRPr="00866FFA">
        <w:tab/>
      </w:r>
      <w:r w:rsidR="00E8352A" w:rsidRPr="00866FFA">
        <w:t xml:space="preserve">Sweden presented </w:t>
      </w:r>
      <w:r w:rsidRPr="00866FFA">
        <w:t xml:space="preserve">BONN </w:t>
      </w:r>
      <w:r w:rsidR="00E8352A" w:rsidRPr="00866FFA">
        <w:t>18/4/P02</w:t>
      </w:r>
      <w:r w:rsidR="00AE4F89" w:rsidRPr="00866FFA">
        <w:t xml:space="preserve"> on the grounding of </w:t>
      </w:r>
      <w:r w:rsidR="009825C3" w:rsidRPr="00866FFA">
        <w:t xml:space="preserve">MV </w:t>
      </w:r>
      <w:r w:rsidR="00AE4F89" w:rsidRPr="00866FFA">
        <w:t>Makassar Highway. The cause of the grounding was determined to have been caused by the first officer being drunk and the vessel navigating close to shore to remain within GSM cover as the satellite navigation system had failed. 14m</w:t>
      </w:r>
      <w:r w:rsidR="00AE4F89" w:rsidRPr="00866FFA">
        <w:rPr>
          <w:vertAlign w:val="superscript"/>
        </w:rPr>
        <w:t>3</w:t>
      </w:r>
      <w:r w:rsidR="00AE4F89" w:rsidRPr="00866FFA">
        <w:t xml:space="preserve"> of oil leaked, of which 7 m</w:t>
      </w:r>
      <w:r w:rsidR="00AE4F89" w:rsidRPr="00866FFA">
        <w:rPr>
          <w:vertAlign w:val="superscript"/>
        </w:rPr>
        <w:t xml:space="preserve">3 </w:t>
      </w:r>
      <w:r w:rsidR="00AE4F89" w:rsidRPr="00866FFA">
        <w:t>were recovered. The vessel was eventually refloated and returned to Poland.</w:t>
      </w:r>
    </w:p>
    <w:p w14:paraId="0229FDF7" w14:textId="77777777" w:rsidR="00CD390E" w:rsidRPr="00866FFA" w:rsidRDefault="00B22247" w:rsidP="00866FFA">
      <w:r w:rsidRPr="00866FFA">
        <w:t>4.3</w:t>
      </w:r>
      <w:r w:rsidRPr="00866FFA">
        <w:tab/>
      </w:r>
      <w:r w:rsidR="00CD390E" w:rsidRPr="00866FFA">
        <w:t>Germany presented BONN 18/4/P03, an oil spill of 50 to 290 m</w:t>
      </w:r>
      <w:r w:rsidR="00CD390E" w:rsidRPr="00866FFA">
        <w:rPr>
          <w:vertAlign w:val="superscript"/>
        </w:rPr>
        <w:t>3</w:t>
      </w:r>
      <w:r w:rsidR="00CD390E" w:rsidRPr="00866FFA">
        <w:t xml:space="preserve"> first spotted by a police helicopter. Response vessels were dispatched to recover the oil but when they arrived on scene the oil had sunk below the surface. The following days no oil was refloated or beached. The circumstances are under investigation at the moment.</w:t>
      </w:r>
    </w:p>
    <w:p w14:paraId="5E0A9224" w14:textId="55A6F594" w:rsidR="00AF379E" w:rsidRPr="00866FFA" w:rsidRDefault="007E62AA" w:rsidP="00866FFA">
      <w:r w:rsidRPr="00866FFA">
        <w:t xml:space="preserve"> </w:t>
      </w:r>
      <w:r w:rsidR="00486663" w:rsidRPr="00866FFA">
        <w:t>4.</w:t>
      </w:r>
      <w:r w:rsidR="00B22247" w:rsidRPr="00866FFA">
        <w:t>4</w:t>
      </w:r>
      <w:r w:rsidR="00486663" w:rsidRPr="00866FFA">
        <w:tab/>
      </w:r>
      <w:r w:rsidR="008756F0" w:rsidRPr="00866FFA">
        <w:t>France</w:t>
      </w:r>
      <w:r w:rsidR="00486663" w:rsidRPr="00866FFA">
        <w:t xml:space="preserve"> </w:t>
      </w:r>
      <w:r w:rsidR="00AF379E" w:rsidRPr="00866FFA">
        <w:t xml:space="preserve">presented </w:t>
      </w:r>
      <w:r w:rsidR="00B22247" w:rsidRPr="00866FFA">
        <w:t>BONN</w:t>
      </w:r>
      <w:r w:rsidR="00F446A0" w:rsidRPr="00866FFA">
        <w:t xml:space="preserve"> 18/4/P04 on </w:t>
      </w:r>
      <w:r w:rsidR="00AF379E" w:rsidRPr="00866FFA">
        <w:t xml:space="preserve">the Mariner project and the Western Mediterranean Region Marine Oil &amp; HNS Pollution Cooperation Project (West MOPoCo). </w:t>
      </w:r>
    </w:p>
    <w:p w14:paraId="56955162" w14:textId="77777777" w:rsidR="00AF379E" w:rsidRPr="00866FFA" w:rsidRDefault="00486663" w:rsidP="00866FFA">
      <w:r w:rsidRPr="00866FFA">
        <w:t>4.</w:t>
      </w:r>
      <w:r w:rsidR="00B22247" w:rsidRPr="00866FFA">
        <w:t>5</w:t>
      </w:r>
      <w:r w:rsidR="00AF379E" w:rsidRPr="00866FFA">
        <w:tab/>
      </w:r>
      <w:r w:rsidRPr="00866FFA">
        <w:t>BONN</w:t>
      </w:r>
      <w:r w:rsidR="00AF379E" w:rsidRPr="00866FFA">
        <w:t xml:space="preserve"> noted the</w:t>
      </w:r>
      <w:r w:rsidR="008756F0" w:rsidRPr="00866FFA">
        <w:t xml:space="preserve"> presentations from Contracting Parties</w:t>
      </w:r>
      <w:r w:rsidR="00AF379E" w:rsidRPr="00866FFA">
        <w:t>.</w:t>
      </w:r>
    </w:p>
    <w:p w14:paraId="3960026E" w14:textId="77777777" w:rsidR="001B742F" w:rsidRPr="00866FFA" w:rsidRDefault="00057A39" w:rsidP="00866FFA">
      <w:pPr>
        <w:pStyle w:val="Heading2"/>
      </w:pPr>
      <w:bookmarkStart w:id="19" w:name="_Toc529533068"/>
      <w:r w:rsidRPr="00866FFA">
        <w:t xml:space="preserve">Agenda Item </w:t>
      </w:r>
      <w:r w:rsidR="002D3383" w:rsidRPr="00866FFA">
        <w:t>5</w:t>
      </w:r>
      <w:r w:rsidRPr="00866FFA">
        <w:t xml:space="preserve"> – </w:t>
      </w:r>
      <w:r w:rsidR="00C57C7F" w:rsidRPr="00866FFA">
        <w:t xml:space="preserve">European </w:t>
      </w:r>
      <w:r w:rsidR="00B1119A" w:rsidRPr="00866FFA">
        <w:t>Union</w:t>
      </w:r>
      <w:bookmarkEnd w:id="19"/>
    </w:p>
    <w:p w14:paraId="334A0A08" w14:textId="77777777" w:rsidR="00F86446" w:rsidRPr="00866FFA" w:rsidRDefault="0060438E" w:rsidP="00866FFA">
      <w:r w:rsidRPr="00866FFA">
        <w:t>5</w:t>
      </w:r>
      <w:r w:rsidR="00057A39" w:rsidRPr="00866FFA">
        <w:t>.</w:t>
      </w:r>
      <w:r w:rsidR="00F72A3B" w:rsidRPr="00866FFA">
        <w:t>1</w:t>
      </w:r>
      <w:r w:rsidR="00057A39" w:rsidRPr="00866FFA">
        <w:tab/>
        <w:t>T</w:t>
      </w:r>
      <w:r w:rsidRPr="00866FFA">
        <w:t xml:space="preserve">he European Commission </w:t>
      </w:r>
      <w:r w:rsidR="008756F0" w:rsidRPr="00866FFA">
        <w:t>presented BONN 18/</w:t>
      </w:r>
      <w:r w:rsidR="00B22247" w:rsidRPr="00866FFA">
        <w:t>5</w:t>
      </w:r>
      <w:r w:rsidR="008756F0" w:rsidRPr="00866FFA">
        <w:t>/Info. 2, the outcome of</w:t>
      </w:r>
      <w:r w:rsidR="00057A39" w:rsidRPr="00866FFA">
        <w:t xml:space="preserve"> the </w:t>
      </w:r>
      <w:r w:rsidRPr="00866FFA">
        <w:t>Four</w:t>
      </w:r>
      <w:r w:rsidR="00A52581" w:rsidRPr="00866FFA">
        <w:t>teen</w:t>
      </w:r>
      <w:r w:rsidR="00B22247" w:rsidRPr="00866FFA">
        <w:t>th</w:t>
      </w:r>
      <w:r w:rsidR="00245DB5" w:rsidRPr="00866FFA">
        <w:t xml:space="preserve"> </w:t>
      </w:r>
      <w:r w:rsidR="00C57C7F" w:rsidRPr="00866FFA">
        <w:t>Inter-Secretariat m</w:t>
      </w:r>
      <w:r w:rsidR="00057A39" w:rsidRPr="00866FFA">
        <w:t>eeting between the Regional Agreements</w:t>
      </w:r>
      <w:r w:rsidR="002A49D4" w:rsidRPr="00866FFA">
        <w:t>’ Secretariats</w:t>
      </w:r>
      <w:r w:rsidR="00057A39" w:rsidRPr="00866FFA">
        <w:t xml:space="preserve">, DG </w:t>
      </w:r>
      <w:r w:rsidR="00813017" w:rsidRPr="00866FFA">
        <w:t>ECHO</w:t>
      </w:r>
      <w:r w:rsidR="002A49D4" w:rsidRPr="00866FFA">
        <w:t xml:space="preserve"> and EMSA</w:t>
      </w:r>
      <w:r w:rsidR="00581723" w:rsidRPr="00866FFA">
        <w:t xml:space="preserve"> held in February 201</w:t>
      </w:r>
      <w:r w:rsidR="002B15B9" w:rsidRPr="00866FFA">
        <w:t>8</w:t>
      </w:r>
      <w:r w:rsidRPr="00866FFA">
        <w:t>, Copenhagen</w:t>
      </w:r>
      <w:r w:rsidR="008756F0" w:rsidRPr="00866FFA">
        <w:t>.</w:t>
      </w:r>
      <w:r w:rsidR="00F86446" w:rsidRPr="00866FFA">
        <w:t xml:space="preserve"> The meeting had discussed coop</w:t>
      </w:r>
      <w:r w:rsidR="008756F0" w:rsidRPr="00866FFA">
        <w:t xml:space="preserve">eration between the agreements, </w:t>
      </w:r>
      <w:r w:rsidR="00F86446" w:rsidRPr="00866FFA">
        <w:t xml:space="preserve">and updates on the work of EMSA, REMPEC, Copenhagen Agreement and Lisbon Agreement. </w:t>
      </w:r>
    </w:p>
    <w:p w14:paraId="3A6FA71A" w14:textId="6C5C47B9" w:rsidR="00495148" w:rsidRPr="00866FFA" w:rsidRDefault="00B22247" w:rsidP="00866FFA">
      <w:r w:rsidRPr="00866FFA">
        <w:t>5.2</w:t>
      </w:r>
      <w:r w:rsidRPr="00866FFA">
        <w:tab/>
      </w:r>
      <w:r w:rsidR="00495148" w:rsidRPr="00866FFA">
        <w:t>N</w:t>
      </w:r>
      <w:r w:rsidR="002604EE" w:rsidRPr="00866FFA">
        <w:t>orway</w:t>
      </w:r>
      <w:r w:rsidR="00495148" w:rsidRPr="00866FFA">
        <w:t xml:space="preserve"> asked whether it would be possible to submit a shorter pre-application to the EU before going ahead with a final application</w:t>
      </w:r>
      <w:r w:rsidR="002604EE" w:rsidRPr="00866FFA">
        <w:t xml:space="preserve"> to reduce the amount of resources needed to make an application</w:t>
      </w:r>
      <w:r w:rsidR="00495148" w:rsidRPr="00866FFA">
        <w:t xml:space="preserve">. </w:t>
      </w:r>
      <w:r w:rsidRPr="00866FFA">
        <w:t xml:space="preserve">The </w:t>
      </w:r>
      <w:r w:rsidR="00495148" w:rsidRPr="00866FFA">
        <w:t xml:space="preserve">EU informed that </w:t>
      </w:r>
      <w:r w:rsidRPr="00866FFA">
        <w:t xml:space="preserve">a </w:t>
      </w:r>
      <w:r w:rsidR="00495148" w:rsidRPr="00866FFA">
        <w:t>shorter application</w:t>
      </w:r>
      <w:r w:rsidR="002604EE" w:rsidRPr="00866FFA">
        <w:t xml:space="preserve"> procedure had been tested but</w:t>
      </w:r>
      <w:r w:rsidR="004A354B" w:rsidRPr="00866FFA">
        <w:t xml:space="preserve"> it had not proved to be beneficial</w:t>
      </w:r>
      <w:r w:rsidR="00495148" w:rsidRPr="00866FFA">
        <w:t xml:space="preserve">. </w:t>
      </w:r>
      <w:r w:rsidR="002604EE" w:rsidRPr="00866FFA">
        <w:t xml:space="preserve">Applicants should ensure that they are able to justify the longevity of the project </w:t>
      </w:r>
      <w:r w:rsidR="000D691A" w:rsidRPr="00866FFA">
        <w:t xml:space="preserve">and link the project to Civil Protection (shoreline protection) and greater links to other regional agreements. </w:t>
      </w:r>
      <w:r w:rsidR="00495148" w:rsidRPr="00866FFA">
        <w:t xml:space="preserve">The </w:t>
      </w:r>
      <w:r w:rsidR="000D691A" w:rsidRPr="00866FFA">
        <w:t>greater the number of links an applicant can make, the</w:t>
      </w:r>
      <w:r w:rsidRPr="00866FFA">
        <w:t xml:space="preserve"> </w:t>
      </w:r>
      <w:r w:rsidR="000D691A" w:rsidRPr="00866FFA">
        <w:t>greater the chance</w:t>
      </w:r>
      <w:r w:rsidRPr="00866FFA">
        <w:t xml:space="preserve"> </w:t>
      </w:r>
      <w:r w:rsidR="000D691A" w:rsidRPr="00866FFA">
        <w:t>for successful funding</w:t>
      </w:r>
      <w:r w:rsidR="00495148" w:rsidRPr="00866FFA">
        <w:t xml:space="preserve">. </w:t>
      </w:r>
      <w:r w:rsidR="002604EE" w:rsidRPr="00866FFA">
        <w:t xml:space="preserve">The </w:t>
      </w:r>
      <w:r w:rsidR="0060013C" w:rsidRPr="00866FFA">
        <w:t xml:space="preserve">European </w:t>
      </w:r>
      <w:r w:rsidR="002604EE" w:rsidRPr="00866FFA">
        <w:t>Commission was thanked</w:t>
      </w:r>
      <w:r w:rsidR="000D691A" w:rsidRPr="00866FFA">
        <w:t xml:space="preserve"> for its continuous and valuable support to Contracting Parties in writing applications.</w:t>
      </w:r>
      <w:r w:rsidR="002604EE" w:rsidRPr="00866FFA">
        <w:t xml:space="preserve"> </w:t>
      </w:r>
    </w:p>
    <w:p w14:paraId="686A743F" w14:textId="77777777" w:rsidR="00057A39" w:rsidRPr="00866FFA" w:rsidRDefault="00057A39" w:rsidP="00866FFA">
      <w:pPr>
        <w:pStyle w:val="Heading2"/>
      </w:pPr>
      <w:bookmarkStart w:id="20" w:name="_Toc529533069"/>
      <w:r w:rsidRPr="00866FFA">
        <w:lastRenderedPageBreak/>
        <w:t xml:space="preserve">Agenda Item </w:t>
      </w:r>
      <w:r w:rsidR="0060438E" w:rsidRPr="00866FFA">
        <w:t>6</w:t>
      </w:r>
      <w:r w:rsidRPr="00866FFA">
        <w:t xml:space="preserve"> </w:t>
      </w:r>
      <w:r w:rsidR="00860725" w:rsidRPr="00866FFA">
        <w:t>–</w:t>
      </w:r>
      <w:r w:rsidRPr="00866FFA">
        <w:t xml:space="preserve"> Work in other international</w:t>
      </w:r>
      <w:r w:rsidR="003D2CE1" w:rsidRPr="00866FFA">
        <w:t xml:space="preserve"> organisations</w:t>
      </w:r>
      <w:bookmarkEnd w:id="20"/>
      <w:r w:rsidRPr="00866FFA">
        <w:t xml:space="preserve"> </w:t>
      </w:r>
    </w:p>
    <w:p w14:paraId="56FA92FD" w14:textId="77777777" w:rsidR="001B34A0" w:rsidRPr="00866FFA" w:rsidRDefault="001B34A0" w:rsidP="00866FFA">
      <w:r w:rsidRPr="00866FFA">
        <w:t>6.1</w:t>
      </w:r>
      <w:r w:rsidRPr="00866FFA">
        <w:tab/>
        <w:t xml:space="preserve">The Secretariat introduced BONN 18/6/1, which outlined the report of the 2018 meeting of NSN. The key issues that had been discussed were the inclusion of MARPOL Annex II, Annex V and Annex VI in the North Sea Manual on Maritime Oil Pollution Offences. The main focus had been the non-compliance and consideration of prosecutions for MARPOL Annex VI offences. </w:t>
      </w:r>
    </w:p>
    <w:p w14:paraId="65E5E8A5" w14:textId="77777777" w:rsidR="001B34A0" w:rsidRPr="00866FFA" w:rsidRDefault="001B34A0" w:rsidP="00866FFA">
      <w:r w:rsidRPr="00866FFA">
        <w:t>6.2</w:t>
      </w:r>
      <w:r w:rsidRPr="00866FFA">
        <w:tab/>
        <w:t>The Secretariat presented the outcome of the joint NSN-OTSOPA seminar on Maritime Environmental Crimes - Violations for Non-compliance with MARPOL Annex II and VI, held on the 6-7 March 2018. To follow up on the recommendations from the seminar, NSN had decided to participate in the upcoming seminar “Prevention of and sanctions on illegal waste disposal from ships at sea”, 29-30 November 2018 in Berlin, Germany. The seminar aims to facilitate discussions and exchange of information on existing and best practices with regard to the enforcement of international, regional and national law as well as better coordination of the involved bodies and actors. </w:t>
      </w:r>
    </w:p>
    <w:p w14:paraId="401B01FF" w14:textId="5D373A00" w:rsidR="001B34A0" w:rsidRPr="00866FFA" w:rsidRDefault="001B34A0" w:rsidP="00866FFA">
      <w:pPr>
        <w:rPr>
          <w:lang w:val="en-US" w:eastAsia="en-GB"/>
        </w:rPr>
      </w:pPr>
      <w:r w:rsidRPr="00866FFA">
        <w:t>6.3</w:t>
      </w:r>
      <w:r w:rsidRPr="00866FFA">
        <w:tab/>
        <w:t xml:space="preserve">Norway presented work within the Arctic Council and the working group Emergency Prevention Preparedness and response (EPPR), which held its last meeting </w:t>
      </w:r>
      <w:r w:rsidRPr="00866FFA">
        <w:rPr>
          <w:lang w:val="en-US" w:eastAsia="en-GB"/>
        </w:rPr>
        <w:t xml:space="preserve">in June in Malmö. </w:t>
      </w:r>
      <w:r w:rsidR="009825C3" w:rsidRPr="00866FFA">
        <w:rPr>
          <w:lang w:val="en-US" w:eastAsia="en-GB"/>
        </w:rPr>
        <w:t>EPPR have established a  M</w:t>
      </w:r>
      <w:r w:rsidRPr="00866FFA">
        <w:t xml:space="preserve">arine </w:t>
      </w:r>
      <w:r w:rsidR="009825C3" w:rsidRPr="00866FFA">
        <w:t>E</w:t>
      </w:r>
      <w:r w:rsidRPr="00866FFA">
        <w:t xml:space="preserve">nvironment </w:t>
      </w:r>
      <w:r w:rsidR="009825C3" w:rsidRPr="00866FFA">
        <w:t>R</w:t>
      </w:r>
      <w:r w:rsidRPr="00866FFA">
        <w:t xml:space="preserve">esponse </w:t>
      </w:r>
      <w:r w:rsidR="009825C3" w:rsidRPr="00866FFA">
        <w:t xml:space="preserve">(MER) expert </w:t>
      </w:r>
      <w:r w:rsidRPr="00866FFA">
        <w:t xml:space="preserve">group, </w:t>
      </w:r>
      <w:r w:rsidR="009825C3" w:rsidRPr="00866FFA">
        <w:t xml:space="preserve">which focus its work on </w:t>
      </w:r>
      <w:r w:rsidRPr="00866FFA">
        <w:rPr>
          <w:lang w:val="en-US" w:eastAsia="en-GB"/>
        </w:rPr>
        <w:t xml:space="preserve">the Agreement on Cooperation on Marine Oil Pollution Preparedness and Response, and </w:t>
      </w:r>
      <w:r w:rsidR="009825C3" w:rsidRPr="00866FFA">
        <w:rPr>
          <w:lang w:val="en-US" w:eastAsia="en-GB"/>
        </w:rPr>
        <w:t>the</w:t>
      </w:r>
      <w:r w:rsidRPr="00866FFA">
        <w:rPr>
          <w:lang w:val="en-US" w:eastAsia="en-GB"/>
        </w:rPr>
        <w:t xml:space="preserve"> MOSPA Exercise</w:t>
      </w:r>
      <w:r w:rsidR="009825C3" w:rsidRPr="00866FFA">
        <w:rPr>
          <w:lang w:val="en-US" w:eastAsia="en-GB"/>
        </w:rPr>
        <w:t xml:space="preserve">. The latest MOSPA exercise took </w:t>
      </w:r>
      <w:r w:rsidRPr="00866FFA">
        <w:rPr>
          <w:lang w:val="en-US" w:eastAsia="en-GB"/>
        </w:rPr>
        <w:t xml:space="preserve">place in February and March 2018. There would be an upcoming </w:t>
      </w:r>
      <w:r w:rsidR="009825C3" w:rsidRPr="00866FFA">
        <w:rPr>
          <w:lang w:val="en-US" w:eastAsia="en-GB"/>
        </w:rPr>
        <w:t xml:space="preserve">table top </w:t>
      </w:r>
      <w:r w:rsidRPr="00866FFA">
        <w:t>exercise on maritime incident of radioactive material, which would take place in Norway in 2019</w:t>
      </w:r>
      <w:r w:rsidR="009825C3" w:rsidRPr="00866FFA">
        <w:t xml:space="preserve"> and a full scale exercise in 2020</w:t>
      </w:r>
      <w:r w:rsidRPr="00866FFA">
        <w:t xml:space="preserve">. </w:t>
      </w:r>
      <w:r w:rsidRPr="00866FFA">
        <w:rPr>
          <w:lang w:val="en-US" w:eastAsia="en-GB"/>
        </w:rPr>
        <w:t>The next</w:t>
      </w:r>
      <w:r w:rsidRPr="00866FFA">
        <w:t xml:space="preserve"> EPPR meeting would take place in </w:t>
      </w:r>
      <w:r w:rsidRPr="00866FFA">
        <w:rPr>
          <w:lang w:val="en-US" w:eastAsia="en-GB"/>
        </w:rPr>
        <w:t>December 2018 in New Orleans.</w:t>
      </w:r>
    </w:p>
    <w:p w14:paraId="6728575F" w14:textId="0C095A84" w:rsidR="001B34A0" w:rsidRPr="00866FFA" w:rsidRDefault="001B34A0" w:rsidP="00866FFA">
      <w:r w:rsidRPr="00866FFA">
        <w:rPr>
          <w:lang w:val="en-US" w:eastAsia="en-GB"/>
        </w:rPr>
        <w:t>6.4</w:t>
      </w:r>
      <w:r w:rsidRPr="00866FFA">
        <w:rPr>
          <w:lang w:val="en-US" w:eastAsia="en-GB"/>
        </w:rPr>
        <w:tab/>
        <w:t xml:space="preserve">Norway gave a verbal update on the activities under the </w:t>
      </w:r>
      <w:r w:rsidR="009825C3" w:rsidRPr="00866FFA">
        <w:rPr>
          <w:lang w:val="en-US" w:eastAsia="en-GB"/>
        </w:rPr>
        <w:t xml:space="preserve">Sub-Committee on Pollution Prevention and Response (PPR) and their work related to the </w:t>
      </w:r>
      <w:r w:rsidRPr="00866FFA">
        <w:rPr>
          <w:lang w:val="en-US" w:eastAsia="en-GB"/>
        </w:rPr>
        <w:t>International Convention on Oil Pollution Preparedness, Response and Co-operation (</w:t>
      </w:r>
      <w:r w:rsidRPr="00866FFA">
        <w:t xml:space="preserve">OPRC). </w:t>
      </w:r>
      <w:r w:rsidR="009825C3" w:rsidRPr="00866FFA">
        <w:t>A new</w:t>
      </w:r>
      <w:r w:rsidRPr="00866FFA">
        <w:t xml:space="preserve"> IMO guidelines on underwater dispersion</w:t>
      </w:r>
      <w:r w:rsidR="009825C3" w:rsidRPr="00866FFA">
        <w:t xml:space="preserve"> is finalised</w:t>
      </w:r>
      <w:r w:rsidRPr="00866FFA">
        <w:t xml:space="preserve">, which would be submitted to MEPC 73 for approval. </w:t>
      </w:r>
      <w:r w:rsidR="009825C3" w:rsidRPr="00866FFA">
        <w:t xml:space="preserve">New guidelines on the implementation of the OPRC Convention is under development by PPR.  </w:t>
      </w:r>
      <w:r w:rsidRPr="00866FFA">
        <w:t>There was a need to suggest new issues to be discussed under OPRC, as there was a shortage of suggested subjects. Norway encouraged Contracting Parties to suggest new OPRC</w:t>
      </w:r>
      <w:r w:rsidR="0040157F">
        <w:t xml:space="preserve"> to PPR</w:t>
      </w:r>
      <w:r w:rsidRPr="00866FFA">
        <w:t xml:space="preserve">. </w:t>
      </w:r>
    </w:p>
    <w:p w14:paraId="11ACB925" w14:textId="77777777" w:rsidR="001B34A0" w:rsidRPr="00866FFA" w:rsidRDefault="001B34A0" w:rsidP="00866FFA">
      <w:r w:rsidRPr="00866FFA">
        <w:t>6.5</w:t>
      </w:r>
      <w:r w:rsidRPr="00866FFA">
        <w:tab/>
        <w:t xml:space="preserve">In discussion Belgium asked for information on the proposed ban on HFO from Canada. In response Norway informed that PAME </w:t>
      </w:r>
      <w:r w:rsidR="009C1819" w:rsidRPr="00866FFA">
        <w:t xml:space="preserve">- </w:t>
      </w:r>
      <w:r w:rsidRPr="00866FFA">
        <w:t xml:space="preserve">the working group on Protection the Artic Marine Environment </w:t>
      </w:r>
      <w:r w:rsidR="009C1819" w:rsidRPr="00866FFA">
        <w:t xml:space="preserve">- </w:t>
      </w:r>
      <w:r w:rsidRPr="00866FFA">
        <w:t xml:space="preserve">was covering the issue. </w:t>
      </w:r>
    </w:p>
    <w:p w14:paraId="117386F5" w14:textId="77777777" w:rsidR="00371F80" w:rsidRPr="00866FFA" w:rsidRDefault="001B34A0" w:rsidP="00866FFA">
      <w:pPr>
        <w:rPr>
          <w:lang w:eastAsia="en-GB"/>
        </w:rPr>
      </w:pPr>
      <w:r w:rsidRPr="00866FFA">
        <w:rPr>
          <w:lang w:eastAsia="en-GB"/>
        </w:rPr>
        <w:t>6.6</w:t>
      </w:r>
      <w:r w:rsidRPr="00866FFA">
        <w:rPr>
          <w:lang w:eastAsia="en-GB"/>
        </w:rPr>
        <w:tab/>
        <w:t>BONN noted with interest the information from the Secretariat and Norway.</w:t>
      </w:r>
      <w:bookmarkStart w:id="21" w:name="_Toc432599764"/>
      <w:bookmarkStart w:id="22" w:name="_Toc432601173"/>
      <w:bookmarkStart w:id="23" w:name="_Toc499027182"/>
    </w:p>
    <w:p w14:paraId="2A478DEB" w14:textId="180D30C2" w:rsidR="00502D56" w:rsidRPr="00866FFA" w:rsidRDefault="00502D56" w:rsidP="00866FFA">
      <w:pPr>
        <w:pStyle w:val="Heading2"/>
      </w:pPr>
      <w:bookmarkStart w:id="24" w:name="_Toc529533070"/>
      <w:r w:rsidRPr="00866FFA">
        <w:t>Agenda Item 7 – Communications</w:t>
      </w:r>
      <w:bookmarkEnd w:id="21"/>
      <w:bookmarkEnd w:id="22"/>
      <w:bookmarkEnd w:id="23"/>
      <w:bookmarkEnd w:id="24"/>
    </w:p>
    <w:p w14:paraId="161C432B" w14:textId="77777777" w:rsidR="00502D56" w:rsidRPr="00866FFA" w:rsidRDefault="00502D56" w:rsidP="00866FFA">
      <w:pPr>
        <w:rPr>
          <w:rFonts w:eastAsia="Calibri"/>
        </w:rPr>
      </w:pPr>
      <w:r w:rsidRPr="00866FFA">
        <w:rPr>
          <w:rFonts w:eastAsia="Calibri"/>
        </w:rPr>
        <w:t>7.1</w:t>
      </w:r>
      <w:r w:rsidRPr="00866FFA">
        <w:rPr>
          <w:rFonts w:eastAsia="Calibri"/>
        </w:rPr>
        <w:tab/>
        <w:t>The Secretariat introduced BONN 18/</w:t>
      </w:r>
      <w:r w:rsidR="00B22247" w:rsidRPr="00866FFA">
        <w:rPr>
          <w:rFonts w:eastAsia="Calibri"/>
        </w:rPr>
        <w:t>7</w:t>
      </w:r>
      <w:r w:rsidRPr="00866FFA">
        <w:rPr>
          <w:rFonts w:eastAsia="Calibri"/>
        </w:rPr>
        <w:t xml:space="preserve">/1 on the Bonn Agreement Communications Strategy outlining the activities on the BONN website. </w:t>
      </w:r>
    </w:p>
    <w:p w14:paraId="55499772" w14:textId="77777777" w:rsidR="00502D56" w:rsidRPr="00866FFA" w:rsidRDefault="00B22247" w:rsidP="00866FFA">
      <w:pPr>
        <w:rPr>
          <w:rFonts w:eastAsia="Calibri"/>
        </w:rPr>
      </w:pPr>
      <w:r w:rsidRPr="00866FFA">
        <w:rPr>
          <w:rFonts w:eastAsia="Calibri"/>
        </w:rPr>
        <w:t>7.2</w:t>
      </w:r>
      <w:r w:rsidR="00502D56" w:rsidRPr="00866FFA">
        <w:rPr>
          <w:rFonts w:eastAsia="Calibri"/>
        </w:rPr>
        <w:tab/>
        <w:t>BONN noted the information from the Secretariat.</w:t>
      </w:r>
    </w:p>
    <w:p w14:paraId="0343CD8E" w14:textId="77777777" w:rsidR="00502D56" w:rsidRPr="00866FFA" w:rsidRDefault="00502D56" w:rsidP="00866FFA">
      <w:pPr>
        <w:pStyle w:val="Heading2"/>
      </w:pPr>
      <w:bookmarkStart w:id="25" w:name="_Toc432599765"/>
      <w:bookmarkStart w:id="26" w:name="_Toc432601174"/>
      <w:bookmarkStart w:id="27" w:name="_Toc499027183"/>
      <w:bookmarkStart w:id="28" w:name="_Toc529533071"/>
      <w:r w:rsidRPr="00866FFA">
        <w:t>Agenda Item 8 – List of Actions and Programme of Work</w:t>
      </w:r>
      <w:bookmarkEnd w:id="25"/>
      <w:bookmarkEnd w:id="26"/>
      <w:bookmarkEnd w:id="27"/>
      <w:bookmarkEnd w:id="28"/>
    </w:p>
    <w:p w14:paraId="5B316B98" w14:textId="77777777" w:rsidR="00502D56" w:rsidRPr="00866FFA" w:rsidRDefault="00502D56" w:rsidP="00866FFA">
      <w:bookmarkStart w:id="29" w:name="_Toc432599766"/>
      <w:bookmarkStart w:id="30" w:name="_Toc432601175"/>
      <w:r w:rsidRPr="00866FFA">
        <w:t>8.1</w:t>
      </w:r>
      <w:r w:rsidRPr="00866FFA">
        <w:tab/>
      </w:r>
      <w:bookmarkEnd w:id="29"/>
      <w:bookmarkEnd w:id="30"/>
      <w:r w:rsidRPr="006E4610">
        <w:rPr>
          <w:rFonts w:eastAsia="Calibri"/>
          <w:b/>
        </w:rPr>
        <w:t>BONN agreed</w:t>
      </w:r>
      <w:r w:rsidRPr="00866FFA">
        <w:rPr>
          <w:rFonts w:eastAsia="Calibri"/>
        </w:rPr>
        <w:t xml:space="preserve"> to adopt the OTSOPA Programme of Work 2018/2019 with amendments (as in </w:t>
      </w:r>
      <w:r w:rsidRPr="00866FFA">
        <w:rPr>
          <w:rFonts w:eastAsia="Calibri"/>
          <w:b/>
        </w:rPr>
        <w:t xml:space="preserve">Annex </w:t>
      </w:r>
      <w:r w:rsidR="008404A7" w:rsidRPr="00866FFA">
        <w:rPr>
          <w:rFonts w:eastAsia="Calibri"/>
          <w:b/>
        </w:rPr>
        <w:t>9</w:t>
      </w:r>
      <w:r w:rsidRPr="00866FFA">
        <w:rPr>
          <w:rFonts w:eastAsia="Calibri"/>
        </w:rPr>
        <w:t>).</w:t>
      </w:r>
    </w:p>
    <w:p w14:paraId="11F98A1B" w14:textId="77777777" w:rsidR="00502D56" w:rsidRPr="00866FFA" w:rsidRDefault="00502D56" w:rsidP="00866FFA">
      <w:pPr>
        <w:rPr>
          <w:rFonts w:eastAsia="Calibri"/>
        </w:rPr>
      </w:pPr>
      <w:r w:rsidRPr="00866FFA">
        <w:t>8.2</w:t>
      </w:r>
      <w:r w:rsidRPr="00866FFA">
        <w:tab/>
      </w:r>
      <w:r w:rsidRPr="006E4610">
        <w:rPr>
          <w:b/>
        </w:rPr>
        <w:t>BONN agreed</w:t>
      </w:r>
      <w:r w:rsidRPr="00866FFA">
        <w:t xml:space="preserve"> to adopt the </w:t>
      </w:r>
      <w:r w:rsidRPr="00866FFA">
        <w:rPr>
          <w:rFonts w:eastAsia="Calibri"/>
        </w:rPr>
        <w:t xml:space="preserve">Bonn Agreement List of Actions 2018/2019 (as in </w:t>
      </w:r>
      <w:r w:rsidRPr="00866FFA">
        <w:rPr>
          <w:rFonts w:eastAsia="Calibri"/>
          <w:b/>
        </w:rPr>
        <w:t xml:space="preserve">Annex </w:t>
      </w:r>
      <w:r w:rsidR="00CB0135" w:rsidRPr="00866FFA">
        <w:rPr>
          <w:rFonts w:eastAsia="Calibri"/>
          <w:b/>
        </w:rPr>
        <w:t>3</w:t>
      </w:r>
      <w:r w:rsidRPr="00866FFA">
        <w:rPr>
          <w:rFonts w:eastAsia="Calibri"/>
        </w:rPr>
        <w:t>).</w:t>
      </w:r>
    </w:p>
    <w:p w14:paraId="2D33D6CC" w14:textId="77777777" w:rsidR="00057A39" w:rsidRPr="00866FFA" w:rsidRDefault="002777CA" w:rsidP="00866FFA">
      <w:pPr>
        <w:pStyle w:val="Heading2"/>
      </w:pPr>
      <w:bookmarkStart w:id="31" w:name="_Toc529533072"/>
      <w:r w:rsidRPr="00866FFA">
        <w:lastRenderedPageBreak/>
        <w:t>Agenda Item 9</w:t>
      </w:r>
      <w:r w:rsidR="00057A39" w:rsidRPr="00866FFA">
        <w:t xml:space="preserve"> – Financial matters</w:t>
      </w:r>
      <w:bookmarkEnd w:id="31"/>
    </w:p>
    <w:p w14:paraId="38C4114C" w14:textId="77777777" w:rsidR="00152803" w:rsidRPr="00866FFA" w:rsidRDefault="00CF7079" w:rsidP="00866FFA">
      <w:pPr>
        <w:rPr>
          <w:i/>
        </w:rPr>
      </w:pPr>
      <w:r w:rsidRPr="00866FFA">
        <w:rPr>
          <w:i/>
        </w:rPr>
        <w:t>Statement of Account for 20</w:t>
      </w:r>
      <w:r w:rsidR="000B1C33" w:rsidRPr="00866FFA">
        <w:rPr>
          <w:i/>
        </w:rPr>
        <w:t>1</w:t>
      </w:r>
      <w:r w:rsidR="002777CA" w:rsidRPr="00866FFA">
        <w:rPr>
          <w:i/>
        </w:rPr>
        <w:t>7</w:t>
      </w:r>
    </w:p>
    <w:p w14:paraId="54D86B7F" w14:textId="77777777" w:rsidR="003D33D5" w:rsidRPr="00866FFA" w:rsidRDefault="003D33D5" w:rsidP="00866FFA">
      <w:r w:rsidRPr="00866FFA">
        <w:t>9.1</w:t>
      </w:r>
      <w:r w:rsidRPr="00866FFA">
        <w:tab/>
        <w:t>In accordance with Rule 22 of the Financial Rules of the Bonn Agreement, the Secretary presented the 2017 Statement of Account and Audit Certificate for the General Budget of the Bonn Agreement (BONN 18/9/1), together with an Explanatory Memorandum to the Statement of Account for 2017 (BONN 18/9/3 and BONN 18/9/3 Add.1).</w:t>
      </w:r>
    </w:p>
    <w:p w14:paraId="0DA0CDA4" w14:textId="77777777" w:rsidR="003D33D5" w:rsidRPr="00866FFA" w:rsidRDefault="003D33D5" w:rsidP="00866FFA">
      <w:r w:rsidRPr="00866FFA">
        <w:t>9.2</w:t>
      </w:r>
      <w:r w:rsidRPr="00866FFA">
        <w:tab/>
        <w:t xml:space="preserve">Taking into account the report of the Comptroller and Auditor General of the United Kingdom and in accordance with Rule 27 of the Financial Rules of the Bonn Agreement, </w:t>
      </w:r>
      <w:r w:rsidRPr="006E4610">
        <w:rPr>
          <w:b/>
        </w:rPr>
        <w:t>BONN</w:t>
      </w:r>
      <w:r w:rsidRPr="00866FFA">
        <w:t xml:space="preserve"> </w:t>
      </w:r>
      <w:r w:rsidRPr="006E4610">
        <w:rPr>
          <w:b/>
        </w:rPr>
        <w:t>agreed</w:t>
      </w:r>
      <w:r w:rsidRPr="00866FFA">
        <w:t xml:space="preserve"> to discharge the Secretary in respect of the implementation of the 2017 General Budget.</w:t>
      </w:r>
    </w:p>
    <w:p w14:paraId="6CFDD2A2" w14:textId="77777777" w:rsidR="003D33D5" w:rsidRPr="00866FFA" w:rsidRDefault="003D33D5" w:rsidP="00866FFA">
      <w:pPr>
        <w:rPr>
          <w:i/>
          <w:noProof/>
          <w:lang w:eastAsia="en-GB"/>
        </w:rPr>
      </w:pPr>
      <w:bookmarkStart w:id="32" w:name="_Toc461528591"/>
      <w:bookmarkStart w:id="33" w:name="_Toc499027187"/>
      <w:r w:rsidRPr="00866FFA">
        <w:rPr>
          <w:i/>
          <w:noProof/>
          <w:lang w:eastAsia="en-GB"/>
        </w:rPr>
        <w:t>General Fund and Working Capital Fund</w:t>
      </w:r>
      <w:bookmarkEnd w:id="32"/>
      <w:bookmarkEnd w:id="33"/>
    </w:p>
    <w:p w14:paraId="60868AAF" w14:textId="77777777" w:rsidR="003D33D5" w:rsidRPr="00866FFA" w:rsidRDefault="003D33D5" w:rsidP="00866FFA">
      <w:r w:rsidRPr="00866FFA">
        <w:t>9.3</w:t>
      </w:r>
      <w:r w:rsidRPr="00866FFA">
        <w:tab/>
        <w:t>BONN noted a report on the financial situation of the Bonn Agreement General and Working Capital Funds (BONN 18/9/2). The meeting noted that the General Fund now stood at £1</w:t>
      </w:r>
      <w:r w:rsidR="001C16D3" w:rsidRPr="00866FFA">
        <w:t>56 </w:t>
      </w:r>
      <w:r w:rsidRPr="00866FFA">
        <w:t xml:space="preserve">097 at the end of 2017 and that there had been no contribution to the Working Capital Fund. </w:t>
      </w:r>
    </w:p>
    <w:p w14:paraId="248342E7" w14:textId="77777777" w:rsidR="00277A49" w:rsidRPr="00AB6FB6" w:rsidRDefault="00277A49" w:rsidP="00AB6FB6">
      <w:pPr>
        <w:rPr>
          <w:i/>
        </w:rPr>
      </w:pPr>
      <w:r w:rsidRPr="00AB6FB6">
        <w:rPr>
          <w:i/>
        </w:rPr>
        <w:t xml:space="preserve">Approval of Draft Budget for 2019 </w:t>
      </w:r>
    </w:p>
    <w:p w14:paraId="5AAA5DE6" w14:textId="77777777" w:rsidR="00E8648F" w:rsidRPr="00866FFA" w:rsidRDefault="00232B1D" w:rsidP="00866FFA">
      <w:r w:rsidRPr="00866FFA">
        <w:t>9.</w:t>
      </w:r>
      <w:r w:rsidR="00B35E81" w:rsidRPr="00866FFA">
        <w:t>4</w:t>
      </w:r>
      <w:r w:rsidR="00E8648F" w:rsidRPr="00866FFA">
        <w:tab/>
      </w:r>
      <w:r w:rsidR="00B35E81" w:rsidRPr="00866FFA">
        <w:t xml:space="preserve">The Secretary </w:t>
      </w:r>
      <w:r w:rsidR="00E8648F" w:rsidRPr="00866FFA">
        <w:t xml:space="preserve">presented </w:t>
      </w:r>
      <w:r w:rsidR="00D778BB" w:rsidRPr="00866FFA">
        <w:t xml:space="preserve">BONN </w:t>
      </w:r>
      <w:r w:rsidR="00E8648F" w:rsidRPr="00866FFA">
        <w:t xml:space="preserve">18/9/4, </w:t>
      </w:r>
      <w:r w:rsidR="00D778BB" w:rsidRPr="00866FFA">
        <w:t xml:space="preserve">BONN </w:t>
      </w:r>
      <w:r w:rsidR="003D33D5" w:rsidRPr="00866FFA">
        <w:t>18/</w:t>
      </w:r>
      <w:r w:rsidR="00E8648F" w:rsidRPr="00866FFA">
        <w:t xml:space="preserve">9/4 Add.1, </w:t>
      </w:r>
      <w:r w:rsidR="00D778BB" w:rsidRPr="00866FFA">
        <w:t xml:space="preserve">BONN </w:t>
      </w:r>
      <w:r w:rsidR="003D33D5" w:rsidRPr="00866FFA">
        <w:t>18/</w:t>
      </w:r>
      <w:r w:rsidR="00E8648F" w:rsidRPr="00866FFA">
        <w:t xml:space="preserve">9/4 Add.2. </w:t>
      </w:r>
      <w:r w:rsidR="00A82771" w:rsidRPr="00866FFA">
        <w:t xml:space="preserve">Document Bonn 18/9/4 </w:t>
      </w:r>
      <w:r w:rsidR="00E8648F" w:rsidRPr="00866FFA">
        <w:t>Add.1 present</w:t>
      </w:r>
      <w:r w:rsidR="003D33D5" w:rsidRPr="00866FFA">
        <w:t>ed</w:t>
      </w:r>
      <w:r w:rsidR="00E8648F" w:rsidRPr="00866FFA">
        <w:t xml:space="preserve"> 2 options of the budget: The first option included expenditure for the Ministerial </w:t>
      </w:r>
      <w:r w:rsidR="003D33D5" w:rsidRPr="00866FFA">
        <w:t>and legal costs for the Accession</w:t>
      </w:r>
      <w:r w:rsidR="001C16D3" w:rsidRPr="00866FFA">
        <w:t xml:space="preserve"> of Spain to the Bonn Agreement. Option 2 </w:t>
      </w:r>
      <w:r w:rsidR="00E8648F" w:rsidRPr="00866FFA">
        <w:t xml:space="preserve">proposed that </w:t>
      </w:r>
      <w:r w:rsidR="00D778BB" w:rsidRPr="00866FFA">
        <w:t xml:space="preserve">the </w:t>
      </w:r>
      <w:r w:rsidR="003D33D5" w:rsidRPr="00866FFA">
        <w:t xml:space="preserve">above-mentioned </w:t>
      </w:r>
      <w:r w:rsidR="00E8648F" w:rsidRPr="00866FFA">
        <w:t xml:space="preserve">expenditure be paid for as part of a special project with funding from the General Fund. Despite the increased budget for 2019, as compared to 2018, the contributions in 2019 would remain flat as in 2018, if the proposed drawdown from the General Fund was to be agreed, as last year. </w:t>
      </w:r>
    </w:p>
    <w:p w14:paraId="54E1336B" w14:textId="77777777" w:rsidR="00B35E81" w:rsidRPr="00866FFA" w:rsidRDefault="0076724D" w:rsidP="00866FFA">
      <w:pPr>
        <w:rPr>
          <w:lang w:val="en-US"/>
        </w:rPr>
      </w:pPr>
      <w:r w:rsidRPr="00866FFA">
        <w:rPr>
          <w:lang w:val="en-US"/>
        </w:rPr>
        <w:t>9.5</w:t>
      </w:r>
      <w:r w:rsidRPr="00866FFA">
        <w:rPr>
          <w:lang w:val="en-US"/>
        </w:rPr>
        <w:tab/>
        <w:t>In discussion</w:t>
      </w:r>
      <w:r w:rsidR="00BE1CDA" w:rsidRPr="00866FFA">
        <w:rPr>
          <w:lang w:val="en-US"/>
        </w:rPr>
        <w:t xml:space="preserve">, </w:t>
      </w:r>
      <w:r w:rsidRPr="00866FFA">
        <w:rPr>
          <w:lang w:val="en-US"/>
        </w:rPr>
        <w:t>some Contracting Parties reminded the meeting that the use of the General Fund was primarily to reduce Contracting Parties’</w:t>
      </w:r>
      <w:r w:rsidR="003D33D5" w:rsidRPr="00866FFA">
        <w:rPr>
          <w:lang w:val="en-US"/>
        </w:rPr>
        <w:t xml:space="preserve"> contributions.</w:t>
      </w:r>
    </w:p>
    <w:p w14:paraId="5E7E7B2B" w14:textId="34E29892" w:rsidR="00A82771" w:rsidRPr="00866FFA" w:rsidRDefault="0076724D" w:rsidP="00866FFA">
      <w:pPr>
        <w:pStyle w:val="ListParagraph"/>
        <w:ind w:left="0"/>
        <w:rPr>
          <w:lang w:val="en-US"/>
        </w:rPr>
      </w:pPr>
      <w:r w:rsidRPr="00866FFA">
        <w:rPr>
          <w:lang w:val="en-US"/>
        </w:rPr>
        <w:t>9.6</w:t>
      </w:r>
      <w:r w:rsidRPr="00866FFA">
        <w:rPr>
          <w:lang w:val="en-US"/>
        </w:rPr>
        <w:tab/>
      </w:r>
      <w:r w:rsidR="00A82771" w:rsidRPr="00866FFA">
        <w:rPr>
          <w:lang w:val="en-US"/>
        </w:rPr>
        <w:t xml:space="preserve">In conclusion, </w:t>
      </w:r>
      <w:r w:rsidR="00A82771" w:rsidRPr="00866FFA">
        <w:rPr>
          <w:b/>
          <w:lang w:val="en-US"/>
        </w:rPr>
        <w:t>B</w:t>
      </w:r>
      <w:r w:rsidR="006E4610">
        <w:rPr>
          <w:b/>
          <w:lang w:val="en-US"/>
        </w:rPr>
        <w:t>ONN</w:t>
      </w:r>
      <w:r w:rsidR="00A82771" w:rsidRPr="00866FFA">
        <w:rPr>
          <w:b/>
          <w:lang w:val="en-US"/>
        </w:rPr>
        <w:t xml:space="preserve"> agreed</w:t>
      </w:r>
      <w:r w:rsidR="00A82771" w:rsidRPr="00866FFA">
        <w:rPr>
          <w:lang w:val="en-US"/>
        </w:rPr>
        <w:t>:</w:t>
      </w:r>
    </w:p>
    <w:p w14:paraId="552DB856" w14:textId="77777777" w:rsidR="00866FFA" w:rsidRDefault="00A82771" w:rsidP="00866FFA">
      <w:pPr>
        <w:pStyle w:val="ListParagraph"/>
        <w:numPr>
          <w:ilvl w:val="0"/>
          <w:numId w:val="30"/>
        </w:numPr>
        <w:rPr>
          <w:lang w:val="en-US"/>
        </w:rPr>
      </w:pPr>
      <w:r w:rsidRPr="00866FFA">
        <w:rPr>
          <w:lang w:val="en-US"/>
        </w:rPr>
        <w:t>on the changes to apportionment related to staff time and other expenses. The contribution of the Bonn Agreement to the salary budget of the OSPAR Commission would increase to</w:t>
      </w:r>
    </w:p>
    <w:p w14:paraId="43A6CDD7" w14:textId="77777777" w:rsidR="00866FFA" w:rsidRDefault="00A82771" w:rsidP="00866FFA">
      <w:pPr>
        <w:pStyle w:val="ListParagraph"/>
        <w:numPr>
          <w:ilvl w:val="1"/>
          <w:numId w:val="31"/>
        </w:numPr>
        <w:rPr>
          <w:lang w:val="en-US"/>
        </w:rPr>
      </w:pPr>
      <w:r w:rsidRPr="00866FFA">
        <w:rPr>
          <w:lang w:val="en-US"/>
        </w:rPr>
        <w:t xml:space="preserve">35% of the salary of a Deputy Secretary (grade A3); and </w:t>
      </w:r>
    </w:p>
    <w:p w14:paraId="1AB27B67" w14:textId="71337E0E" w:rsidR="00A82771" w:rsidRPr="00866FFA" w:rsidRDefault="00A82771" w:rsidP="00866FFA">
      <w:pPr>
        <w:pStyle w:val="ListParagraph"/>
        <w:numPr>
          <w:ilvl w:val="1"/>
          <w:numId w:val="31"/>
        </w:numPr>
        <w:rPr>
          <w:lang w:val="en-US"/>
        </w:rPr>
      </w:pPr>
      <w:r w:rsidRPr="00866FFA">
        <w:rPr>
          <w:lang w:val="en-US"/>
        </w:rPr>
        <w:t>40% of the salary of an Assistant Secretary (grade B3).</w:t>
      </w:r>
    </w:p>
    <w:p w14:paraId="4C34DB42" w14:textId="77777777" w:rsidR="00A82771" w:rsidRPr="00866FFA" w:rsidRDefault="001B7FCD" w:rsidP="00866FFA">
      <w:pPr>
        <w:rPr>
          <w:color w:val="000000" w:themeColor="text1"/>
          <w:lang w:val="en-US"/>
        </w:rPr>
      </w:pPr>
      <w:r w:rsidRPr="00866FFA">
        <w:rPr>
          <w:lang w:val="en-US"/>
        </w:rPr>
        <w:t>Rent</w:t>
      </w:r>
      <w:r w:rsidR="00A82771" w:rsidRPr="00866FFA">
        <w:rPr>
          <w:lang w:val="en-US"/>
        </w:rPr>
        <w:t xml:space="preserve"> and service charges apportioned to Bonn would be 1/11 of the corresponding costs, rounded to the nearest thousand;</w:t>
      </w:r>
    </w:p>
    <w:p w14:paraId="07094F1C" w14:textId="77777777" w:rsidR="00866FFA" w:rsidRDefault="00866FFA" w:rsidP="00866FFA">
      <w:pPr>
        <w:pStyle w:val="ListParagraph"/>
        <w:numPr>
          <w:ilvl w:val="0"/>
          <w:numId w:val="30"/>
        </w:numPr>
        <w:rPr>
          <w:lang w:val="en-US"/>
        </w:rPr>
      </w:pPr>
      <w:r w:rsidRPr="00866FFA">
        <w:rPr>
          <w:lang w:val="en-US"/>
        </w:rPr>
        <w:t>a</w:t>
      </w:r>
      <w:r w:rsidR="00A82771" w:rsidRPr="00866FFA">
        <w:rPr>
          <w:lang w:val="en-US"/>
        </w:rPr>
        <w:t xml:space="preserve"> budget </w:t>
      </w:r>
      <w:r w:rsidR="00D778BB" w:rsidRPr="00866FFA">
        <w:rPr>
          <w:lang w:val="en-US"/>
        </w:rPr>
        <w:t xml:space="preserve">of </w:t>
      </w:r>
      <w:r w:rsidR="00A82771" w:rsidRPr="00866FFA">
        <w:rPr>
          <w:lang w:val="en-US"/>
        </w:rPr>
        <w:t>£103 003 for 2019;</w:t>
      </w:r>
    </w:p>
    <w:p w14:paraId="7E8D44A7" w14:textId="77777777" w:rsidR="00866FFA" w:rsidRDefault="00A82771" w:rsidP="00866FFA">
      <w:pPr>
        <w:pStyle w:val="ListParagraph"/>
        <w:numPr>
          <w:ilvl w:val="0"/>
          <w:numId w:val="30"/>
        </w:numPr>
        <w:rPr>
          <w:lang w:val="en-US"/>
        </w:rPr>
      </w:pPr>
      <w:r w:rsidRPr="00866FFA">
        <w:rPr>
          <w:lang w:val="en-US"/>
        </w:rPr>
        <w:t>on flat contributions of £86 312 for 2019 through a drawd</w:t>
      </w:r>
      <w:r w:rsidR="00866FFA" w:rsidRPr="00866FFA">
        <w:rPr>
          <w:lang w:val="en-US"/>
        </w:rPr>
        <w:t xml:space="preserve">own of £16 691 from the General </w:t>
      </w:r>
      <w:r w:rsidRPr="00866FFA">
        <w:rPr>
          <w:lang w:val="en-US"/>
        </w:rPr>
        <w:t xml:space="preserve">Fund but </w:t>
      </w:r>
      <w:r w:rsidR="003D33D5" w:rsidRPr="00866FFA">
        <w:rPr>
          <w:lang w:val="en-US"/>
        </w:rPr>
        <w:t xml:space="preserve">this matter </w:t>
      </w:r>
      <w:r w:rsidR="00D778BB" w:rsidRPr="00866FFA">
        <w:rPr>
          <w:lang w:val="en-US"/>
        </w:rPr>
        <w:t xml:space="preserve">would be revisited </w:t>
      </w:r>
      <w:r w:rsidRPr="00866FFA">
        <w:rPr>
          <w:lang w:val="en-US"/>
        </w:rPr>
        <w:t xml:space="preserve">next year in </w:t>
      </w:r>
      <w:r w:rsidR="001B7FCD" w:rsidRPr="00866FFA">
        <w:rPr>
          <w:lang w:val="en-US"/>
        </w:rPr>
        <w:t>the light</w:t>
      </w:r>
      <w:r w:rsidRPr="00866FFA">
        <w:rPr>
          <w:lang w:val="en-US"/>
        </w:rPr>
        <w:t xml:space="preserve"> of work </w:t>
      </w:r>
      <w:r w:rsidR="003D33D5" w:rsidRPr="00866FFA">
        <w:rPr>
          <w:lang w:val="en-US"/>
        </w:rPr>
        <w:t>requirements</w:t>
      </w:r>
      <w:r w:rsidRPr="00866FFA">
        <w:rPr>
          <w:lang w:val="en-US"/>
        </w:rPr>
        <w:t>;</w:t>
      </w:r>
    </w:p>
    <w:p w14:paraId="77E98D77" w14:textId="77777777" w:rsidR="00866FFA" w:rsidRDefault="00A82771" w:rsidP="00866FFA">
      <w:pPr>
        <w:pStyle w:val="ListParagraph"/>
        <w:numPr>
          <w:ilvl w:val="0"/>
          <w:numId w:val="30"/>
        </w:numPr>
        <w:rPr>
          <w:lang w:val="en-US"/>
        </w:rPr>
      </w:pPr>
      <w:r w:rsidRPr="00866FFA">
        <w:rPr>
          <w:lang w:val="en-US"/>
        </w:rPr>
        <w:t xml:space="preserve">that </w:t>
      </w:r>
      <w:r w:rsidR="001B7FCD" w:rsidRPr="00866FFA">
        <w:rPr>
          <w:lang w:val="en-US"/>
        </w:rPr>
        <w:t xml:space="preserve">£15 000 would be drawn down from the General Fund towards the cost of </w:t>
      </w:r>
      <w:r w:rsidRPr="00866FFA">
        <w:rPr>
          <w:lang w:val="en-US"/>
        </w:rPr>
        <w:t>relo</w:t>
      </w:r>
      <w:r w:rsidR="00866FFA">
        <w:rPr>
          <w:lang w:val="en-US"/>
        </w:rPr>
        <w:t>cation;</w:t>
      </w:r>
    </w:p>
    <w:p w14:paraId="63EB9FAA" w14:textId="77777777" w:rsidR="00866FFA" w:rsidRDefault="00A82771" w:rsidP="00866FFA">
      <w:pPr>
        <w:pStyle w:val="ListParagraph"/>
        <w:numPr>
          <w:ilvl w:val="0"/>
          <w:numId w:val="30"/>
        </w:numPr>
        <w:rPr>
          <w:lang w:val="en-US"/>
        </w:rPr>
      </w:pPr>
      <w:r w:rsidRPr="00866FFA">
        <w:rPr>
          <w:lang w:val="en-US"/>
        </w:rPr>
        <w:t xml:space="preserve">on the trend analysis </w:t>
      </w:r>
      <w:r w:rsidR="001B7FCD" w:rsidRPr="00866FFA">
        <w:rPr>
          <w:lang w:val="en-US"/>
        </w:rPr>
        <w:t xml:space="preserve">project </w:t>
      </w:r>
      <w:r w:rsidRPr="00866FFA">
        <w:rPr>
          <w:lang w:val="en-US"/>
        </w:rPr>
        <w:t>(see para 2.</w:t>
      </w:r>
      <w:r w:rsidR="00D778BB" w:rsidRPr="00866FFA">
        <w:rPr>
          <w:lang w:val="en-US"/>
        </w:rPr>
        <w:t xml:space="preserve">2.16-2.18 </w:t>
      </w:r>
      <w:r w:rsidRPr="00866FFA">
        <w:rPr>
          <w:lang w:val="en-US"/>
        </w:rPr>
        <w:t>and doc</w:t>
      </w:r>
      <w:r w:rsidR="003D33D5" w:rsidRPr="00866FFA">
        <w:rPr>
          <w:lang w:val="en-US"/>
        </w:rPr>
        <w:t xml:space="preserve">ument </w:t>
      </w:r>
      <w:r w:rsidR="00D778BB" w:rsidRPr="00866FFA">
        <w:rPr>
          <w:lang w:val="en-US"/>
        </w:rPr>
        <w:t xml:space="preserve">BONN </w:t>
      </w:r>
      <w:r w:rsidRPr="00866FFA">
        <w:rPr>
          <w:lang w:val="en-US"/>
        </w:rPr>
        <w:t>18/2/9) with estimated costs between £75 000-85 000 will be funded by the General Fund</w:t>
      </w:r>
      <w:r w:rsidR="001B7FCD" w:rsidRPr="00866FFA">
        <w:rPr>
          <w:lang w:val="en-US"/>
        </w:rPr>
        <w:t xml:space="preserve"> as a special project</w:t>
      </w:r>
      <w:r w:rsidRPr="00866FFA">
        <w:rPr>
          <w:lang w:val="en-US"/>
        </w:rPr>
        <w:t xml:space="preserve">. The remaining amount, an estimated </w:t>
      </w:r>
      <w:r w:rsidR="00E311F6" w:rsidRPr="00866FFA">
        <w:rPr>
          <w:lang w:val="en-US"/>
        </w:rPr>
        <w:t>£16 9</w:t>
      </w:r>
      <w:r w:rsidRPr="00866FFA">
        <w:rPr>
          <w:lang w:val="en-US"/>
        </w:rPr>
        <w:t xml:space="preserve">00 would be left in the General Fund </w:t>
      </w:r>
      <w:r w:rsidR="0076724D" w:rsidRPr="00866FFA">
        <w:rPr>
          <w:lang w:val="en-US"/>
        </w:rPr>
        <w:t xml:space="preserve">to </w:t>
      </w:r>
      <w:r w:rsidRPr="00866FFA">
        <w:rPr>
          <w:lang w:val="en-US"/>
        </w:rPr>
        <w:t xml:space="preserve">offset </w:t>
      </w:r>
      <w:r w:rsidR="0076724D" w:rsidRPr="00866FFA">
        <w:rPr>
          <w:lang w:val="en-US"/>
        </w:rPr>
        <w:t>Contracting Parties’</w:t>
      </w:r>
      <w:r w:rsidR="00866FFA">
        <w:rPr>
          <w:lang w:val="en-US"/>
        </w:rPr>
        <w:t xml:space="preserve"> contributions in 2019;</w:t>
      </w:r>
    </w:p>
    <w:p w14:paraId="5CFB1D50" w14:textId="61592F2C" w:rsidR="00BE1CDA" w:rsidRPr="00866FFA" w:rsidRDefault="00BE1CDA" w:rsidP="00866FFA">
      <w:pPr>
        <w:pStyle w:val="ListParagraph"/>
        <w:numPr>
          <w:ilvl w:val="0"/>
          <w:numId w:val="30"/>
        </w:numPr>
        <w:rPr>
          <w:lang w:val="en-US"/>
        </w:rPr>
      </w:pPr>
      <w:r w:rsidRPr="00866FFA">
        <w:rPr>
          <w:lang w:val="en-US"/>
        </w:rPr>
        <w:t>that Contracting Parties’ contributions would remain at the same level in the case of the accession of Spain.</w:t>
      </w:r>
    </w:p>
    <w:p w14:paraId="28A06AFE" w14:textId="77777777" w:rsidR="00277A49" w:rsidRPr="00866FFA" w:rsidRDefault="00277A49" w:rsidP="00866FFA">
      <w:pPr>
        <w:rPr>
          <w:i/>
        </w:rPr>
      </w:pPr>
      <w:r w:rsidRPr="00866FFA">
        <w:rPr>
          <w:i/>
        </w:rPr>
        <w:t>Non-binding outline budget of estimated expenditure for the three subsequent years</w:t>
      </w:r>
    </w:p>
    <w:p w14:paraId="2D355F73" w14:textId="5A51C2E9" w:rsidR="00E8648F" w:rsidRPr="00866FFA" w:rsidRDefault="00BE1CDA" w:rsidP="00866FFA">
      <w:r w:rsidRPr="00866FFA">
        <w:lastRenderedPageBreak/>
        <w:t>9.7</w:t>
      </w:r>
      <w:r w:rsidR="00232B1D" w:rsidRPr="00866FFA">
        <w:tab/>
        <w:t xml:space="preserve">The </w:t>
      </w:r>
      <w:r w:rsidR="00E8648F" w:rsidRPr="00866FFA">
        <w:t>Sec</w:t>
      </w:r>
      <w:r w:rsidR="00232B1D" w:rsidRPr="00866FFA">
        <w:t>retariat</w:t>
      </w:r>
      <w:r w:rsidR="00E8648F" w:rsidRPr="00866FFA">
        <w:t xml:space="preserve"> presented BONN 18/9/5 on the non-binding outline budget for 2020-2022 for BONN to note, in accordance with the financial rules.</w:t>
      </w:r>
      <w:r w:rsidRPr="00866FFA">
        <w:t xml:space="preserve"> </w:t>
      </w:r>
      <w:r w:rsidR="006E4610" w:rsidRPr="006E4610">
        <w:rPr>
          <w:b/>
        </w:rPr>
        <w:t>BONN</w:t>
      </w:r>
      <w:r w:rsidR="006E4610">
        <w:t xml:space="preserve"> </w:t>
      </w:r>
      <w:r w:rsidRPr="006E4610">
        <w:rPr>
          <w:b/>
        </w:rPr>
        <w:t>agreed</w:t>
      </w:r>
      <w:r w:rsidRPr="00866FFA">
        <w:t xml:space="preserve"> that the non-binding outline budget for 2021-2023 would take into account </w:t>
      </w:r>
      <w:r w:rsidR="00D778BB" w:rsidRPr="00866FFA">
        <w:t>the Bonn Agreement Strategic Action Plan (BASAP)</w:t>
      </w:r>
      <w:r w:rsidRPr="00866FFA">
        <w:t>.</w:t>
      </w:r>
    </w:p>
    <w:p w14:paraId="739B9C0F" w14:textId="44760B12" w:rsidR="00E8648F" w:rsidRPr="00866FFA" w:rsidRDefault="00BE1CDA" w:rsidP="00866FFA">
      <w:r w:rsidRPr="00866FFA">
        <w:t>9.8</w:t>
      </w:r>
      <w:r w:rsidRPr="00866FFA">
        <w:tab/>
      </w:r>
      <w:r w:rsidR="00E8648F" w:rsidRPr="00866FFA">
        <w:t xml:space="preserve">BONN </w:t>
      </w:r>
      <w:r w:rsidRPr="00866FFA">
        <w:t xml:space="preserve">noted </w:t>
      </w:r>
      <w:r w:rsidR="00D778BB" w:rsidRPr="00866FFA">
        <w:t>BONN</w:t>
      </w:r>
      <w:r w:rsidRPr="00866FFA">
        <w:t xml:space="preserve"> </w:t>
      </w:r>
      <w:r w:rsidR="00E8648F" w:rsidRPr="00866FFA">
        <w:t xml:space="preserve">18/9/7 on unused funds </w:t>
      </w:r>
      <w:r w:rsidR="001B7FCD" w:rsidRPr="00866FFA">
        <w:t>from the Photo Atlas</w:t>
      </w:r>
      <w:r w:rsidR="00E8648F" w:rsidRPr="00866FFA">
        <w:t xml:space="preserve"> special project</w:t>
      </w:r>
      <w:r w:rsidRPr="00866FFA">
        <w:t xml:space="preserve">. </w:t>
      </w:r>
      <w:r w:rsidRPr="006E4610">
        <w:rPr>
          <w:b/>
        </w:rPr>
        <w:t>B</w:t>
      </w:r>
      <w:r w:rsidR="006E4610">
        <w:rPr>
          <w:b/>
        </w:rPr>
        <w:t>ONN</w:t>
      </w:r>
      <w:r w:rsidRPr="006E4610">
        <w:rPr>
          <w:b/>
        </w:rPr>
        <w:t xml:space="preserve"> agreed</w:t>
      </w:r>
      <w:r w:rsidRPr="00866FFA">
        <w:t xml:space="preserve"> </w:t>
      </w:r>
      <w:r w:rsidR="00E8648F" w:rsidRPr="00866FFA">
        <w:t>to use the remaining funds of £3</w:t>
      </w:r>
      <w:r w:rsidR="00E311F6" w:rsidRPr="00866FFA">
        <w:t> </w:t>
      </w:r>
      <w:r w:rsidR="00E8648F" w:rsidRPr="00866FFA">
        <w:t xml:space="preserve">965 towards extraordinary costs like the Ministerial. </w:t>
      </w:r>
    </w:p>
    <w:p w14:paraId="33BEF11F" w14:textId="77777777" w:rsidR="00D80C6F" w:rsidRPr="00866FFA" w:rsidRDefault="00277A49" w:rsidP="00866FFA">
      <w:pPr>
        <w:rPr>
          <w:i/>
        </w:rPr>
      </w:pPr>
      <w:r w:rsidRPr="00866FFA">
        <w:rPr>
          <w:i/>
        </w:rPr>
        <w:t>BE-AWARE II project Audit</w:t>
      </w:r>
    </w:p>
    <w:p w14:paraId="3F350DE6" w14:textId="77777777" w:rsidR="00D80C6F" w:rsidRPr="00866FFA" w:rsidRDefault="00232B1D" w:rsidP="00866FFA">
      <w:r w:rsidRPr="00866FFA">
        <w:t>9.</w:t>
      </w:r>
      <w:r w:rsidR="001B7FCD" w:rsidRPr="00866FFA">
        <w:t>9</w:t>
      </w:r>
      <w:r w:rsidRPr="00866FFA">
        <w:tab/>
      </w:r>
      <w:r w:rsidR="00E311F6" w:rsidRPr="00866FFA">
        <w:t>BONN noted the observations and recommendations of the auditors on the BE-AWARE II project Audit (Document Bonn 18/11/Info.1). The Secretariat informed Bonn that the auditors’ findings were mostly administrative</w:t>
      </w:r>
      <w:r w:rsidR="001B7FCD" w:rsidRPr="00866FFA">
        <w:t xml:space="preserve"> and had</w:t>
      </w:r>
      <w:r w:rsidR="00E311F6" w:rsidRPr="00866FFA">
        <w:t xml:space="preserve"> for the most part been taken care of. </w:t>
      </w:r>
    </w:p>
    <w:p w14:paraId="71631003" w14:textId="77777777" w:rsidR="002777CA" w:rsidRPr="00866FFA" w:rsidRDefault="002777CA" w:rsidP="00866FFA">
      <w:r w:rsidRPr="00866FFA">
        <w:t>Staff Regulations</w:t>
      </w:r>
    </w:p>
    <w:p w14:paraId="006A2CAB" w14:textId="77777777" w:rsidR="001A3C1D" w:rsidRPr="00866FFA" w:rsidRDefault="001B7FCD" w:rsidP="00866FFA">
      <w:r w:rsidRPr="00866FFA">
        <w:t>9.10</w:t>
      </w:r>
      <w:r w:rsidR="00232B1D" w:rsidRPr="00866FFA">
        <w:tab/>
      </w:r>
      <w:r w:rsidRPr="00866FFA">
        <w:t xml:space="preserve">BONN noted the </w:t>
      </w:r>
      <w:r w:rsidR="001A3C1D" w:rsidRPr="00866FFA">
        <w:t xml:space="preserve">OSPAR staff regulations </w:t>
      </w:r>
      <w:r w:rsidRPr="00866FFA">
        <w:t xml:space="preserve">from the Secretary </w:t>
      </w:r>
      <w:r w:rsidR="001A3C1D" w:rsidRPr="00866FFA">
        <w:t>for the sake of transparency</w:t>
      </w:r>
      <w:r w:rsidRPr="00866FFA">
        <w:t>. These</w:t>
      </w:r>
      <w:r w:rsidR="001A3C1D" w:rsidRPr="00866FFA">
        <w:t xml:space="preserve"> have been applied in practi</w:t>
      </w:r>
      <w:r w:rsidR="00E311F6" w:rsidRPr="00866FFA">
        <w:t>c</w:t>
      </w:r>
      <w:r w:rsidR="001A3C1D" w:rsidRPr="00866FFA">
        <w:t xml:space="preserve">e to both OSPAR and BONN. BONN </w:t>
      </w:r>
      <w:r w:rsidRPr="00866FFA">
        <w:t>did</w:t>
      </w:r>
      <w:r w:rsidR="001A3C1D" w:rsidRPr="00866FFA">
        <w:t xml:space="preserve"> not need to formally adopt those, but need</w:t>
      </w:r>
      <w:r w:rsidRPr="00866FFA">
        <w:t>ed</w:t>
      </w:r>
      <w:r w:rsidR="001A3C1D" w:rsidRPr="00866FFA">
        <w:t xml:space="preserve"> to acknowledge them, also taking into consideration BONN’s participation at the recruitment process and panel, following the advertisement for a post of a new Deputy Secretary to work on BONN and OSPAR matters and to replace Charlotte Mogensen who has accomplished 3 years of work at the Secretariat.</w:t>
      </w:r>
    </w:p>
    <w:p w14:paraId="04404D0E" w14:textId="77777777" w:rsidR="002777CA" w:rsidRPr="00866FFA" w:rsidRDefault="002777CA" w:rsidP="00866FFA">
      <w:pPr>
        <w:pStyle w:val="Heading2"/>
        <w:rPr>
          <w:b/>
        </w:rPr>
      </w:pPr>
      <w:bookmarkStart w:id="34" w:name="_Toc529533073"/>
      <w:r w:rsidRPr="00866FFA">
        <w:t>Agenda Item 10 – Future meeting arrangements</w:t>
      </w:r>
      <w:bookmarkEnd w:id="34"/>
    </w:p>
    <w:p w14:paraId="31D8B6A7" w14:textId="4EC97827" w:rsidR="00094B88" w:rsidRPr="00866FFA" w:rsidRDefault="002777CA" w:rsidP="00866FFA">
      <w:r w:rsidRPr="00866FFA">
        <w:t>10.1</w:t>
      </w:r>
      <w:r w:rsidRPr="00866FFA">
        <w:tab/>
      </w:r>
      <w:r w:rsidR="00EB6008" w:rsidRPr="00866FFA">
        <w:t>The Secretariat introduced BONN 18/10/1 on Future meetings of BONN and OTSOPA. The United Kingdom confirmed that OTSOPA 2019 would be in the UK</w:t>
      </w:r>
      <w:r w:rsidR="00EB6008" w:rsidRPr="00866FFA">
        <w:rPr>
          <w:lang w:val="da-DK"/>
        </w:rPr>
        <w:t>,</w:t>
      </w:r>
      <w:r w:rsidR="00EB6008" w:rsidRPr="00866FFA">
        <w:t xml:space="preserve"> 2</w:t>
      </w:r>
      <w:r w:rsidR="00CD390E" w:rsidRPr="00866FFA">
        <w:t>1</w:t>
      </w:r>
      <w:r w:rsidR="00EB6008" w:rsidRPr="00866FFA">
        <w:t>-2</w:t>
      </w:r>
      <w:r w:rsidR="00CD390E" w:rsidRPr="00866FFA">
        <w:t>3</w:t>
      </w:r>
      <w:r w:rsidR="00EB6008" w:rsidRPr="00866FFA">
        <w:t xml:space="preserve"> May 2019. Germany confirmed that Bonn 2019 and the Ministerial meeting 2019 would take place in Bonn on 8-11 October 2019.</w:t>
      </w:r>
    </w:p>
    <w:p w14:paraId="61E3FC37" w14:textId="77777777" w:rsidR="00D124A3" w:rsidRPr="00866FFA" w:rsidRDefault="00D124A3" w:rsidP="00866FFA">
      <w:pPr>
        <w:pStyle w:val="Heading2"/>
      </w:pPr>
      <w:bookmarkStart w:id="35" w:name="_Toc529533074"/>
      <w:r w:rsidRPr="00866FFA">
        <w:t>Agenda Item 1</w:t>
      </w:r>
      <w:r w:rsidR="002777CA" w:rsidRPr="00866FFA">
        <w:t>1</w:t>
      </w:r>
      <w:r w:rsidRPr="00866FFA">
        <w:t xml:space="preserve"> – Any other business</w:t>
      </w:r>
      <w:bookmarkEnd w:id="35"/>
    </w:p>
    <w:p w14:paraId="024FB8D7" w14:textId="77777777" w:rsidR="00CC3796" w:rsidRPr="00866FFA" w:rsidRDefault="002777CA" w:rsidP="00866FFA">
      <w:r w:rsidRPr="00866FFA">
        <w:t>11</w:t>
      </w:r>
      <w:r w:rsidR="00D124A3" w:rsidRPr="00866FFA">
        <w:t>.1</w:t>
      </w:r>
      <w:r w:rsidR="008756F0" w:rsidRPr="00866FFA">
        <w:tab/>
      </w:r>
      <w:r w:rsidR="00DB5F77" w:rsidRPr="00866FFA">
        <w:t xml:space="preserve">European Commission </w:t>
      </w:r>
      <w:r w:rsidR="008756F0" w:rsidRPr="00866FFA">
        <w:t xml:space="preserve">noted the possible increase in contributions for the upcoming years and </w:t>
      </w:r>
      <w:r w:rsidR="00D778BB" w:rsidRPr="00866FFA">
        <w:t xml:space="preserve">requested </w:t>
      </w:r>
      <w:r w:rsidR="00EB6008" w:rsidRPr="00866FFA">
        <w:t xml:space="preserve">Contracting Parties to </w:t>
      </w:r>
      <w:r w:rsidR="00DB5F77" w:rsidRPr="00866FFA">
        <w:t xml:space="preserve">reconsider the language </w:t>
      </w:r>
      <w:r w:rsidR="00D778BB" w:rsidRPr="00866FFA">
        <w:t xml:space="preserve">requirements </w:t>
      </w:r>
      <w:r w:rsidR="00DB5F77" w:rsidRPr="00866FFA">
        <w:t xml:space="preserve">to save expenditures. </w:t>
      </w:r>
    </w:p>
    <w:p w14:paraId="4772CCA6" w14:textId="77777777" w:rsidR="00E42BB8" w:rsidRPr="00866FFA" w:rsidRDefault="00EB6008" w:rsidP="00866FFA">
      <w:r w:rsidRPr="00866FFA">
        <w:t>11.</w:t>
      </w:r>
      <w:r w:rsidR="00D778BB" w:rsidRPr="00866FFA">
        <w:t>2</w:t>
      </w:r>
      <w:r w:rsidRPr="00866FFA">
        <w:tab/>
        <w:t xml:space="preserve">In discussion Belgium and France noted the importance of </w:t>
      </w:r>
      <w:r w:rsidR="00D778BB" w:rsidRPr="00866FFA">
        <w:t xml:space="preserve">English-French </w:t>
      </w:r>
      <w:r w:rsidRPr="00866FFA">
        <w:t xml:space="preserve">interpretation, and that the issue had been discussed previously. </w:t>
      </w:r>
    </w:p>
    <w:p w14:paraId="1A21CD28" w14:textId="77777777" w:rsidR="00E8352A" w:rsidRPr="00866FFA" w:rsidRDefault="00E8352A" w:rsidP="00866FFA">
      <w:r w:rsidRPr="00866FFA">
        <w:t>11.</w:t>
      </w:r>
      <w:r w:rsidR="00D778BB" w:rsidRPr="00866FFA">
        <w:t>3</w:t>
      </w:r>
      <w:r w:rsidRPr="00866FFA">
        <w:tab/>
        <w:t>I</w:t>
      </w:r>
      <w:r w:rsidR="00E16452" w:rsidRPr="00866FFA">
        <w:t>reland</w:t>
      </w:r>
      <w:r w:rsidRPr="00866FFA">
        <w:t xml:space="preserve"> made a verbal update on requests for places of refuge and noted two recent incidents where a vessel had been towed to its destination port. The port authority had initially refused the request citing that the vessel should be taken to the nearest port, not the destination. The second incident related to a </w:t>
      </w:r>
      <w:r w:rsidR="00E16452" w:rsidRPr="00866FFA">
        <w:t>vessel in working order but carrying refugees. In both cases the vessels were granted place of refuge in Irish ports.</w:t>
      </w:r>
    </w:p>
    <w:p w14:paraId="1DC841A3" w14:textId="77777777" w:rsidR="008756F0" w:rsidRPr="00866FFA" w:rsidRDefault="008756F0" w:rsidP="00866FFA">
      <w:pPr>
        <w:pStyle w:val="Heading2"/>
      </w:pPr>
      <w:bookmarkStart w:id="36" w:name="_Toc499027191"/>
      <w:bookmarkStart w:id="37" w:name="_Toc529533075"/>
      <w:r w:rsidRPr="00866FFA">
        <w:t>Agenda Item 12 – Adoption of the Summary Record</w:t>
      </w:r>
      <w:bookmarkEnd w:id="36"/>
      <w:bookmarkEnd w:id="37"/>
    </w:p>
    <w:p w14:paraId="268AD658" w14:textId="77777777" w:rsidR="008756F0" w:rsidRPr="00866FFA" w:rsidRDefault="008756F0" w:rsidP="00866FFA">
      <w:bookmarkStart w:id="38" w:name="_Toc432599776"/>
      <w:bookmarkStart w:id="39" w:name="_Toc432601185"/>
      <w:r w:rsidRPr="00866FFA">
        <w:t>12.1</w:t>
      </w:r>
      <w:r w:rsidRPr="00866FFA">
        <w:tab/>
        <w:t>The Bonn Agreement adopted the Summary Record of the meeting in a written procedure.</w:t>
      </w:r>
      <w:bookmarkEnd w:id="38"/>
      <w:bookmarkEnd w:id="39"/>
    </w:p>
    <w:p w14:paraId="374DB66D" w14:textId="77777777" w:rsidR="001E70BE" w:rsidRPr="008756F0" w:rsidRDefault="001E70BE" w:rsidP="008756F0">
      <w:pPr>
        <w:pStyle w:val="Heading3"/>
        <w:spacing w:before="280" w:after="0"/>
        <w:rPr>
          <w:rFonts w:asciiTheme="majorHAnsi" w:hAnsiTheme="majorHAnsi"/>
          <w:sz w:val="22"/>
          <w:szCs w:val="22"/>
        </w:rPr>
      </w:pPr>
    </w:p>
    <w:sectPr w:rsidR="001E70BE" w:rsidRPr="008756F0" w:rsidSect="00D02098">
      <w:footerReference w:type="even" r:id="rId9"/>
      <w:footerReference w:type="default" r:id="rId10"/>
      <w:pgSz w:w="11907" w:h="16840" w:code="9"/>
      <w:pgMar w:top="1134" w:right="1134" w:bottom="1134" w:left="1134" w:header="567" w:footer="28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5BC4D" w14:textId="77777777" w:rsidR="00CD390E" w:rsidRDefault="00CD390E" w:rsidP="00866FFA">
      <w:r>
        <w:separator/>
      </w:r>
    </w:p>
  </w:endnote>
  <w:endnote w:type="continuationSeparator" w:id="0">
    <w:p w14:paraId="54F8C84A" w14:textId="77777777" w:rsidR="00CD390E" w:rsidRDefault="00CD390E" w:rsidP="00866FFA">
      <w:r>
        <w:continuationSeparator/>
      </w:r>
    </w:p>
  </w:endnote>
  <w:endnote w:type="continuationNotice" w:id="1">
    <w:p w14:paraId="1E660121" w14:textId="77777777" w:rsidR="00CD390E" w:rsidRDefault="00CD390E" w:rsidP="00866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18422" w14:textId="77777777" w:rsidR="00CD390E" w:rsidRDefault="00CD390E" w:rsidP="00866FFA">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B87000B" w14:textId="77777777" w:rsidR="00CD390E" w:rsidRDefault="00CD390E" w:rsidP="00866F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52A9F" w14:textId="77777777" w:rsidR="00CD390E" w:rsidRDefault="00CD390E" w:rsidP="00866FFA">
    <w:pPr>
      <w:pStyle w:val="Footer"/>
      <w:rPr>
        <w:rStyle w:val="PageNumber"/>
        <w:rFonts w:ascii="Calibri" w:hAnsi="Calibri"/>
        <w:sz w:val="20"/>
        <w:szCs w:val="18"/>
      </w:rPr>
    </w:pPr>
    <w:r w:rsidRPr="00A87231">
      <w:rPr>
        <w:rStyle w:val="PageNumber"/>
        <w:rFonts w:ascii="Calibri" w:hAnsi="Calibri"/>
        <w:sz w:val="20"/>
        <w:szCs w:val="18"/>
      </w:rPr>
      <w:fldChar w:fldCharType="begin"/>
    </w:r>
    <w:r w:rsidRPr="00A87231">
      <w:rPr>
        <w:rStyle w:val="PageNumber"/>
        <w:rFonts w:ascii="Calibri" w:hAnsi="Calibri"/>
        <w:sz w:val="20"/>
        <w:szCs w:val="18"/>
      </w:rPr>
      <w:instrText xml:space="preserve"> PAGE </w:instrText>
    </w:r>
    <w:r w:rsidRPr="00A87231">
      <w:rPr>
        <w:rStyle w:val="PageNumber"/>
        <w:rFonts w:ascii="Calibri" w:hAnsi="Calibri"/>
        <w:sz w:val="20"/>
        <w:szCs w:val="18"/>
      </w:rPr>
      <w:fldChar w:fldCharType="separate"/>
    </w:r>
    <w:r w:rsidR="00E22BB6">
      <w:rPr>
        <w:rStyle w:val="PageNumber"/>
        <w:rFonts w:ascii="Calibri" w:hAnsi="Calibri"/>
        <w:noProof/>
        <w:sz w:val="20"/>
        <w:szCs w:val="18"/>
      </w:rPr>
      <w:t>1</w:t>
    </w:r>
    <w:r w:rsidRPr="00A87231">
      <w:rPr>
        <w:rStyle w:val="PageNumber"/>
        <w:rFonts w:ascii="Calibri" w:hAnsi="Calibri"/>
        <w:sz w:val="20"/>
        <w:szCs w:val="18"/>
      </w:rPr>
      <w:fldChar w:fldCharType="end"/>
    </w:r>
    <w:r w:rsidRPr="00A87231">
      <w:rPr>
        <w:rStyle w:val="PageNumber"/>
        <w:rFonts w:ascii="Calibri" w:hAnsi="Calibri"/>
        <w:sz w:val="20"/>
        <w:szCs w:val="18"/>
      </w:rPr>
      <w:t xml:space="preserve"> of </w:t>
    </w:r>
    <w:r w:rsidRPr="00A87231">
      <w:rPr>
        <w:rStyle w:val="PageNumber"/>
        <w:rFonts w:ascii="Calibri" w:hAnsi="Calibri"/>
        <w:sz w:val="20"/>
        <w:szCs w:val="18"/>
      </w:rPr>
      <w:fldChar w:fldCharType="begin"/>
    </w:r>
    <w:r w:rsidRPr="00A87231">
      <w:rPr>
        <w:rStyle w:val="PageNumber"/>
        <w:rFonts w:ascii="Calibri" w:hAnsi="Calibri"/>
        <w:sz w:val="20"/>
        <w:szCs w:val="18"/>
      </w:rPr>
      <w:instrText xml:space="preserve"> NUMPAGES </w:instrText>
    </w:r>
    <w:r w:rsidRPr="00A87231">
      <w:rPr>
        <w:rStyle w:val="PageNumber"/>
        <w:rFonts w:ascii="Calibri" w:hAnsi="Calibri"/>
        <w:sz w:val="20"/>
        <w:szCs w:val="18"/>
      </w:rPr>
      <w:fldChar w:fldCharType="separate"/>
    </w:r>
    <w:r w:rsidR="00E22BB6">
      <w:rPr>
        <w:rStyle w:val="PageNumber"/>
        <w:rFonts w:ascii="Calibri" w:hAnsi="Calibri"/>
        <w:noProof/>
        <w:sz w:val="20"/>
        <w:szCs w:val="18"/>
      </w:rPr>
      <w:t>12</w:t>
    </w:r>
    <w:r w:rsidRPr="00A87231">
      <w:rPr>
        <w:rStyle w:val="PageNumber"/>
        <w:rFonts w:ascii="Calibri" w:hAnsi="Calibri"/>
        <w:sz w:val="20"/>
        <w:szCs w:val="18"/>
      </w:rPr>
      <w:fldChar w:fldCharType="end"/>
    </w:r>
  </w:p>
  <w:p w14:paraId="5BE11883" w14:textId="77777777" w:rsidR="00CD390E" w:rsidRPr="00A87231" w:rsidRDefault="00CD390E" w:rsidP="00866FFA">
    <w:pPr>
      <w:pStyle w:val="Footer"/>
    </w:pPr>
    <w:r w:rsidRPr="00A87231">
      <w:rPr>
        <w:rStyle w:val="PageNumber"/>
        <w:rFonts w:ascii="Calibri" w:hAnsi="Calibri"/>
        <w:sz w:val="2"/>
        <w:szCs w:val="18"/>
      </w:rPr>
      <w:tab/>
    </w:r>
  </w:p>
  <w:p w14:paraId="65763214" w14:textId="36B78762" w:rsidR="00CD390E" w:rsidRPr="00A87231" w:rsidRDefault="00CD390E" w:rsidP="00866FFA">
    <w:pPr>
      <w:pStyle w:val="Footer"/>
    </w:pPr>
    <w:r w:rsidRPr="00A87231">
      <w:t>Bonn Agreement</w:t>
    </w:r>
    <w:r>
      <w:tab/>
    </w:r>
    <w:r w:rsidR="0014195E">
      <w:tab/>
    </w:r>
    <w:r w:rsidR="0014195E">
      <w:tab/>
    </w:r>
    <w:r w:rsidR="0014195E">
      <w:tab/>
    </w:r>
    <w:r>
      <w:t>Summary Record – B</w:t>
    </w:r>
    <w:r w:rsidR="00371F80">
      <w:t>onn</w:t>
    </w:r>
    <w:r>
      <w:t xml:space="preserve"> 2018</w:t>
    </w:r>
    <w:r>
      <w:tab/>
    </w:r>
    <w:r w:rsidR="0014195E">
      <w:tab/>
    </w:r>
    <w:r w:rsidR="0014195E">
      <w:tab/>
    </w:r>
    <w:r>
      <w:t>B</w:t>
    </w:r>
    <w:r w:rsidR="00371F80">
      <w:t>onn</w:t>
    </w:r>
    <w:r w:rsidRPr="00A87231">
      <w:t xml:space="preserve"> 1</w:t>
    </w:r>
    <w:r>
      <w:t>8</w:t>
    </w:r>
    <w:r w:rsidRPr="00A87231">
      <w:t>/1</w:t>
    </w:r>
    <w:r>
      <w:t>2</w:t>
    </w:r>
    <w:r w:rsidRPr="00A87231">
      <w:t>/</w:t>
    </w:r>
    <w:r>
      <w:t>1</w:t>
    </w:r>
  </w:p>
  <w:p w14:paraId="6961A288" w14:textId="77777777" w:rsidR="00BB427D" w:rsidRDefault="00BB42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C3FE0" w14:textId="77777777" w:rsidR="00CD390E" w:rsidRDefault="00CD390E" w:rsidP="00866FFA">
      <w:r>
        <w:separator/>
      </w:r>
    </w:p>
  </w:footnote>
  <w:footnote w:type="continuationSeparator" w:id="0">
    <w:p w14:paraId="15402B9B" w14:textId="77777777" w:rsidR="00CD390E" w:rsidRDefault="00CD390E" w:rsidP="00866FFA">
      <w:r>
        <w:continuationSeparator/>
      </w:r>
    </w:p>
  </w:footnote>
  <w:footnote w:type="continuationNotice" w:id="1">
    <w:p w14:paraId="701F5158" w14:textId="77777777" w:rsidR="00CD390E" w:rsidRDefault="00CD390E" w:rsidP="00866FFA"/>
  </w:footnote>
  <w:footnote w:id="2">
    <w:p w14:paraId="6505162E" w14:textId="4E88FD69" w:rsidR="00CD390E" w:rsidRPr="00776FEA" w:rsidRDefault="00CD390E">
      <w:pPr>
        <w:pStyle w:val="FootnoteText"/>
        <w:rPr>
          <w:lang w:val="en-GB"/>
        </w:rPr>
      </w:pPr>
      <w:r>
        <w:rPr>
          <w:rStyle w:val="FootnoteReference"/>
        </w:rPr>
        <w:footnoteRef/>
      </w:r>
      <w:r>
        <w:t xml:space="preserve"> A</w:t>
      </w:r>
      <w:r>
        <w:rPr>
          <w:rFonts w:ascii="Calibri" w:hAnsi="Calibri"/>
          <w:sz w:val="22"/>
        </w:rPr>
        <w:t xml:space="preserve">s per the timetable agreed in written procedure on the 19 October at </w:t>
      </w:r>
      <w:r w:rsidRPr="00776FEA">
        <w:rPr>
          <w:rFonts w:ascii="Calibri" w:hAnsi="Calibri"/>
          <w:sz w:val="22"/>
        </w:rPr>
        <w:t xml:space="preserve">Annex </w:t>
      </w:r>
      <w:r w:rsidR="00251D25" w:rsidRPr="00776FEA">
        <w:rPr>
          <w:rFonts w:ascii="Calibri" w:hAnsi="Calibri"/>
          <w:sz w:val="22"/>
        </w:rPr>
        <w:t>7</w:t>
      </w:r>
    </w:p>
  </w:footnote>
  <w:footnote w:id="3">
    <w:p w14:paraId="7065D283" w14:textId="7BC22D08" w:rsidR="00CD390E" w:rsidRPr="00776FEA" w:rsidRDefault="00CD390E">
      <w:pPr>
        <w:pStyle w:val="FootnoteText"/>
        <w:rPr>
          <w:lang w:val="en-GB"/>
        </w:rPr>
      </w:pPr>
      <w:r>
        <w:rPr>
          <w:rStyle w:val="FootnoteReference"/>
        </w:rPr>
        <w:footnoteRef/>
      </w:r>
      <w:r>
        <w:t xml:space="preserve"> A</w:t>
      </w:r>
      <w:r>
        <w:rPr>
          <w:rFonts w:ascii="Calibri" w:hAnsi="Calibri"/>
          <w:sz w:val="22"/>
        </w:rPr>
        <w:t xml:space="preserve">s per the timetable agreed in written procedure on the 19 </w:t>
      </w:r>
      <w:r w:rsidRPr="00F770C1">
        <w:rPr>
          <w:rFonts w:ascii="Calibri" w:hAnsi="Calibri"/>
          <w:sz w:val="22"/>
        </w:rPr>
        <w:t xml:space="preserve">October at Annex </w:t>
      </w:r>
      <w:r w:rsidR="00F770C1" w:rsidRPr="00F770C1">
        <w:rPr>
          <w:rFonts w:ascii="Calibri" w:hAnsi="Calibri"/>
          <w:sz w:val="22"/>
        </w:rPr>
        <w:t>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E8832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4FA0473C"/>
    <w:lvl w:ilvl="0">
      <w:start w:val="1"/>
      <w:numFmt w:val="lowerLetter"/>
      <w:pStyle w:val="ListNumber"/>
      <w:lvlText w:val="%1."/>
      <w:lvlJc w:val="left"/>
      <w:pPr>
        <w:tabs>
          <w:tab w:val="num" w:pos="1134"/>
        </w:tabs>
        <w:ind w:left="1134" w:hanging="567"/>
      </w:pPr>
      <w:rPr>
        <w:rFonts w:hint="default"/>
        <w:b w:val="0"/>
        <w:i w:val="0"/>
        <w:color w:val="auto"/>
        <w:sz w:val="20"/>
      </w:rPr>
    </w:lvl>
  </w:abstractNum>
  <w:abstractNum w:abstractNumId="2">
    <w:nsid w:val="FFFFFF89"/>
    <w:multiLevelType w:val="singleLevel"/>
    <w:tmpl w:val="C91E2FC0"/>
    <w:lvl w:ilvl="0">
      <w:start w:val="1"/>
      <w:numFmt w:val="lowerRoman"/>
      <w:pStyle w:val="ListBullet"/>
      <w:lvlText w:val="%1."/>
      <w:lvlJc w:val="right"/>
      <w:pPr>
        <w:tabs>
          <w:tab w:val="num" w:pos="1701"/>
        </w:tabs>
        <w:ind w:left="1701" w:hanging="567"/>
      </w:pPr>
      <w:rPr>
        <w:rFonts w:hint="default"/>
        <w:color w:val="auto"/>
      </w:rPr>
    </w:lvl>
  </w:abstractNum>
  <w:abstractNum w:abstractNumId="3">
    <w:nsid w:val="046257A6"/>
    <w:multiLevelType w:val="hybridMultilevel"/>
    <w:tmpl w:val="86C811E4"/>
    <w:lvl w:ilvl="0" w:tplc="7FE61B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2D7CA7"/>
    <w:multiLevelType w:val="hybridMultilevel"/>
    <w:tmpl w:val="78E0ABC8"/>
    <w:lvl w:ilvl="0" w:tplc="DDEC27FC">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7421E80"/>
    <w:multiLevelType w:val="hybridMultilevel"/>
    <w:tmpl w:val="BC6C0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9A8247D"/>
    <w:multiLevelType w:val="hybridMultilevel"/>
    <w:tmpl w:val="5080C5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B92EA3"/>
    <w:multiLevelType w:val="hybridMultilevel"/>
    <w:tmpl w:val="22CA1A1E"/>
    <w:lvl w:ilvl="0" w:tplc="0409000F">
      <w:start w:val="1"/>
      <w:numFmt w:val="decimal"/>
      <w:lvlText w:val="%1."/>
      <w:lvlJc w:val="left"/>
      <w:pPr>
        <w:ind w:left="502" w:hanging="360"/>
      </w:pPr>
      <w:rPr>
        <w:rFonts w:hint="default"/>
      </w:rPr>
    </w:lvl>
    <w:lvl w:ilvl="1" w:tplc="08090019">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9266F22"/>
    <w:multiLevelType w:val="hybridMultilevel"/>
    <w:tmpl w:val="642EC52A"/>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AB373CB"/>
    <w:multiLevelType w:val="hybridMultilevel"/>
    <w:tmpl w:val="0D98F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1A5292"/>
    <w:multiLevelType w:val="hybridMultilevel"/>
    <w:tmpl w:val="4CE2F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FF1178"/>
    <w:multiLevelType w:val="hybridMultilevel"/>
    <w:tmpl w:val="CC126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42F6253"/>
    <w:multiLevelType w:val="multilevel"/>
    <w:tmpl w:val="AD16A210"/>
    <w:lvl w:ilvl="0">
      <w:start w:val="9"/>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25725F"/>
    <w:multiLevelType w:val="hybridMultilevel"/>
    <w:tmpl w:val="F85EB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C963C8"/>
    <w:multiLevelType w:val="multilevel"/>
    <w:tmpl w:val="C918536A"/>
    <w:lvl w:ilvl="0">
      <w:start w:val="1"/>
      <w:numFmt w:val="decimal"/>
      <w:lvlText w:val="%1"/>
      <w:lvlJc w:val="left"/>
      <w:pPr>
        <w:ind w:left="720" w:hanging="72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nsid w:val="35955F0E"/>
    <w:multiLevelType w:val="multilevel"/>
    <w:tmpl w:val="C6AA0B9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8485D5B"/>
    <w:multiLevelType w:val="hybridMultilevel"/>
    <w:tmpl w:val="E88022C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3D7853C6"/>
    <w:multiLevelType w:val="hybridMultilevel"/>
    <w:tmpl w:val="7D105DF4"/>
    <w:lvl w:ilvl="0" w:tplc="4C6E7628">
      <w:start w:val="12"/>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8">
    <w:nsid w:val="44AA7A64"/>
    <w:multiLevelType w:val="hybridMultilevel"/>
    <w:tmpl w:val="58A6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C85DB4"/>
    <w:multiLevelType w:val="hybridMultilevel"/>
    <w:tmpl w:val="1B4A2B0E"/>
    <w:lvl w:ilvl="0" w:tplc="08090017">
      <w:start w:val="1"/>
      <w:numFmt w:val="lowerLetter"/>
      <w:lvlText w:val="%1)"/>
      <w:lvlJc w:val="left"/>
      <w:pPr>
        <w:ind w:left="1440" w:hanging="360"/>
      </w:pPr>
    </w:lvl>
    <w:lvl w:ilvl="1" w:tplc="0809001B">
      <w:start w:val="1"/>
      <w:numFmt w:val="lowerRoman"/>
      <w:lvlText w:val="%2."/>
      <w:lvlJc w:val="righ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45EF2330"/>
    <w:multiLevelType w:val="multilevel"/>
    <w:tmpl w:val="6E5066F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05D50B0"/>
    <w:multiLevelType w:val="hybridMultilevel"/>
    <w:tmpl w:val="8F9A8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37B71"/>
    <w:multiLevelType w:val="singleLevel"/>
    <w:tmpl w:val="FA8EAFAE"/>
    <w:lvl w:ilvl="0">
      <w:start w:val="1"/>
      <w:numFmt w:val="bullet"/>
      <w:lvlText w:val=""/>
      <w:lvlJc w:val="left"/>
      <w:pPr>
        <w:tabs>
          <w:tab w:val="num" w:pos="360"/>
        </w:tabs>
        <w:ind w:left="284" w:hanging="284"/>
      </w:pPr>
      <w:rPr>
        <w:rFonts w:ascii="Symbol" w:hAnsi="Symbol" w:hint="default"/>
        <w:sz w:val="20"/>
      </w:rPr>
    </w:lvl>
  </w:abstractNum>
  <w:abstractNum w:abstractNumId="23">
    <w:nsid w:val="71063052"/>
    <w:multiLevelType w:val="hybridMultilevel"/>
    <w:tmpl w:val="D92C2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63C05"/>
    <w:multiLevelType w:val="multilevel"/>
    <w:tmpl w:val="87E2509C"/>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2894921"/>
    <w:multiLevelType w:val="multilevel"/>
    <w:tmpl w:val="7AE648F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nsid w:val="76015C03"/>
    <w:multiLevelType w:val="hybridMultilevel"/>
    <w:tmpl w:val="AEFA4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FD4DB0"/>
    <w:multiLevelType w:val="hybridMultilevel"/>
    <w:tmpl w:val="755E07F6"/>
    <w:lvl w:ilvl="0" w:tplc="08090017">
      <w:start w:val="1"/>
      <w:numFmt w:val="lowerLetter"/>
      <w:lvlText w:val="%1)"/>
      <w:lvlJc w:val="left"/>
      <w:pPr>
        <w:ind w:left="1290" w:hanging="360"/>
      </w:pPr>
    </w:lvl>
    <w:lvl w:ilvl="1" w:tplc="08090019" w:tentative="1">
      <w:start w:val="1"/>
      <w:numFmt w:val="lowerLetter"/>
      <w:lvlText w:val="%2."/>
      <w:lvlJc w:val="left"/>
      <w:pPr>
        <w:ind w:left="2010" w:hanging="360"/>
      </w:pPr>
    </w:lvl>
    <w:lvl w:ilvl="2" w:tplc="0809001B" w:tentative="1">
      <w:start w:val="1"/>
      <w:numFmt w:val="lowerRoman"/>
      <w:lvlText w:val="%3."/>
      <w:lvlJc w:val="right"/>
      <w:pPr>
        <w:ind w:left="2730" w:hanging="180"/>
      </w:pPr>
    </w:lvl>
    <w:lvl w:ilvl="3" w:tplc="0809000F" w:tentative="1">
      <w:start w:val="1"/>
      <w:numFmt w:val="decimal"/>
      <w:lvlText w:val="%4."/>
      <w:lvlJc w:val="left"/>
      <w:pPr>
        <w:ind w:left="3450" w:hanging="360"/>
      </w:pPr>
    </w:lvl>
    <w:lvl w:ilvl="4" w:tplc="08090019" w:tentative="1">
      <w:start w:val="1"/>
      <w:numFmt w:val="lowerLetter"/>
      <w:lvlText w:val="%5."/>
      <w:lvlJc w:val="left"/>
      <w:pPr>
        <w:ind w:left="4170" w:hanging="360"/>
      </w:pPr>
    </w:lvl>
    <w:lvl w:ilvl="5" w:tplc="0809001B" w:tentative="1">
      <w:start w:val="1"/>
      <w:numFmt w:val="lowerRoman"/>
      <w:lvlText w:val="%6."/>
      <w:lvlJc w:val="right"/>
      <w:pPr>
        <w:ind w:left="4890" w:hanging="180"/>
      </w:pPr>
    </w:lvl>
    <w:lvl w:ilvl="6" w:tplc="0809000F" w:tentative="1">
      <w:start w:val="1"/>
      <w:numFmt w:val="decimal"/>
      <w:lvlText w:val="%7."/>
      <w:lvlJc w:val="left"/>
      <w:pPr>
        <w:ind w:left="5610" w:hanging="360"/>
      </w:pPr>
    </w:lvl>
    <w:lvl w:ilvl="7" w:tplc="08090019" w:tentative="1">
      <w:start w:val="1"/>
      <w:numFmt w:val="lowerLetter"/>
      <w:lvlText w:val="%8."/>
      <w:lvlJc w:val="left"/>
      <w:pPr>
        <w:ind w:left="6330" w:hanging="360"/>
      </w:pPr>
    </w:lvl>
    <w:lvl w:ilvl="8" w:tplc="0809001B" w:tentative="1">
      <w:start w:val="1"/>
      <w:numFmt w:val="lowerRoman"/>
      <w:lvlText w:val="%9."/>
      <w:lvlJc w:val="right"/>
      <w:pPr>
        <w:ind w:left="7050" w:hanging="180"/>
      </w:pPr>
    </w:lvl>
  </w:abstractNum>
  <w:abstractNum w:abstractNumId="28">
    <w:nsid w:val="7B9C69DB"/>
    <w:multiLevelType w:val="hybridMultilevel"/>
    <w:tmpl w:val="AB80C78E"/>
    <w:lvl w:ilvl="0" w:tplc="7FE61BD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22"/>
  </w:num>
  <w:num w:numId="6">
    <w:abstractNumId w:val="15"/>
  </w:num>
  <w:num w:numId="7">
    <w:abstractNumId w:val="12"/>
  </w:num>
  <w:num w:numId="8">
    <w:abstractNumId w:val="17"/>
  </w:num>
  <w:num w:numId="9">
    <w:abstractNumId w:val="6"/>
  </w:num>
  <w:num w:numId="10">
    <w:abstractNumId w:val="5"/>
  </w:num>
  <w:num w:numId="11">
    <w:abstractNumId w:val="0"/>
  </w:num>
  <w:num w:numId="12">
    <w:abstractNumId w:val="20"/>
  </w:num>
  <w:num w:numId="13">
    <w:abstractNumId w:val="16"/>
  </w:num>
  <w:num w:numId="14">
    <w:abstractNumId w:val="9"/>
  </w:num>
  <w:num w:numId="15">
    <w:abstractNumId w:val="26"/>
  </w:num>
  <w:num w:numId="16">
    <w:abstractNumId w:val="24"/>
  </w:num>
  <w:num w:numId="17">
    <w:abstractNumId w:val="18"/>
  </w:num>
  <w:num w:numId="18">
    <w:abstractNumId w:val="7"/>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
  </w:num>
  <w:num w:numId="22">
    <w:abstractNumId w:val="28"/>
  </w:num>
  <w:num w:numId="23">
    <w:abstractNumId w:val="23"/>
  </w:num>
  <w:num w:numId="24">
    <w:abstractNumId w:val="21"/>
  </w:num>
  <w:num w:numId="25">
    <w:abstractNumId w:val="14"/>
  </w:num>
  <w:num w:numId="26">
    <w:abstractNumId w:val="11"/>
  </w:num>
  <w:num w:numId="27">
    <w:abstractNumId w:val="13"/>
  </w:num>
  <w:num w:numId="28">
    <w:abstractNumId w:val="10"/>
  </w:num>
  <w:num w:numId="29">
    <w:abstractNumId w:val="25"/>
  </w:num>
  <w:num w:numId="30">
    <w:abstractNumId w:val="8"/>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E2D"/>
    <w:rsid w:val="000009C4"/>
    <w:rsid w:val="00004B5A"/>
    <w:rsid w:val="00011E9E"/>
    <w:rsid w:val="00017320"/>
    <w:rsid w:val="00020140"/>
    <w:rsid w:val="00024074"/>
    <w:rsid w:val="0003027C"/>
    <w:rsid w:val="000303E2"/>
    <w:rsid w:val="00032B05"/>
    <w:rsid w:val="00036525"/>
    <w:rsid w:val="00037365"/>
    <w:rsid w:val="00041B4D"/>
    <w:rsid w:val="00044271"/>
    <w:rsid w:val="0004781C"/>
    <w:rsid w:val="000515C1"/>
    <w:rsid w:val="00051850"/>
    <w:rsid w:val="00057A39"/>
    <w:rsid w:val="00061EF7"/>
    <w:rsid w:val="000626C9"/>
    <w:rsid w:val="000676B9"/>
    <w:rsid w:val="00067EF9"/>
    <w:rsid w:val="00071ED1"/>
    <w:rsid w:val="00072412"/>
    <w:rsid w:val="00073FB6"/>
    <w:rsid w:val="00074C1C"/>
    <w:rsid w:val="00085E82"/>
    <w:rsid w:val="00087496"/>
    <w:rsid w:val="000877AA"/>
    <w:rsid w:val="00090D54"/>
    <w:rsid w:val="0009168C"/>
    <w:rsid w:val="00094B88"/>
    <w:rsid w:val="00096F2B"/>
    <w:rsid w:val="000A252D"/>
    <w:rsid w:val="000A4CD5"/>
    <w:rsid w:val="000B1C33"/>
    <w:rsid w:val="000B29FF"/>
    <w:rsid w:val="000B37F6"/>
    <w:rsid w:val="000C0EBB"/>
    <w:rsid w:val="000C5742"/>
    <w:rsid w:val="000C65C5"/>
    <w:rsid w:val="000C6E43"/>
    <w:rsid w:val="000C7E68"/>
    <w:rsid w:val="000D5AE6"/>
    <w:rsid w:val="000D691A"/>
    <w:rsid w:val="000E4C39"/>
    <w:rsid w:val="000E7043"/>
    <w:rsid w:val="000E757E"/>
    <w:rsid w:val="000F1F68"/>
    <w:rsid w:val="000F2C49"/>
    <w:rsid w:val="000F3698"/>
    <w:rsid w:val="000F7EC6"/>
    <w:rsid w:val="001000F3"/>
    <w:rsid w:val="00101E83"/>
    <w:rsid w:val="00102FEB"/>
    <w:rsid w:val="0010651D"/>
    <w:rsid w:val="00110559"/>
    <w:rsid w:val="00112090"/>
    <w:rsid w:val="00115328"/>
    <w:rsid w:val="00115972"/>
    <w:rsid w:val="00115991"/>
    <w:rsid w:val="00120DE8"/>
    <w:rsid w:val="001231E9"/>
    <w:rsid w:val="00127A28"/>
    <w:rsid w:val="0013029B"/>
    <w:rsid w:val="00131449"/>
    <w:rsid w:val="0014195E"/>
    <w:rsid w:val="00143BFD"/>
    <w:rsid w:val="001463B2"/>
    <w:rsid w:val="001463F2"/>
    <w:rsid w:val="00146656"/>
    <w:rsid w:val="001466BB"/>
    <w:rsid w:val="00146CE7"/>
    <w:rsid w:val="00150D3B"/>
    <w:rsid w:val="00150F30"/>
    <w:rsid w:val="00152803"/>
    <w:rsid w:val="00155EA7"/>
    <w:rsid w:val="0015670E"/>
    <w:rsid w:val="001633B9"/>
    <w:rsid w:val="00164C3F"/>
    <w:rsid w:val="00170477"/>
    <w:rsid w:val="00175028"/>
    <w:rsid w:val="00176432"/>
    <w:rsid w:val="00176FD0"/>
    <w:rsid w:val="00183817"/>
    <w:rsid w:val="001918AE"/>
    <w:rsid w:val="00191C1E"/>
    <w:rsid w:val="001927F7"/>
    <w:rsid w:val="00193193"/>
    <w:rsid w:val="00197388"/>
    <w:rsid w:val="001A0DD8"/>
    <w:rsid w:val="001A3C1D"/>
    <w:rsid w:val="001A4121"/>
    <w:rsid w:val="001A7A2E"/>
    <w:rsid w:val="001B1550"/>
    <w:rsid w:val="001B2AF9"/>
    <w:rsid w:val="001B34A0"/>
    <w:rsid w:val="001B6A05"/>
    <w:rsid w:val="001B6B71"/>
    <w:rsid w:val="001B742F"/>
    <w:rsid w:val="001B7FCD"/>
    <w:rsid w:val="001C16D3"/>
    <w:rsid w:val="001C374E"/>
    <w:rsid w:val="001C7243"/>
    <w:rsid w:val="001D1293"/>
    <w:rsid w:val="001E0248"/>
    <w:rsid w:val="001E4465"/>
    <w:rsid w:val="001E70BE"/>
    <w:rsid w:val="001F2F92"/>
    <w:rsid w:val="001F3E97"/>
    <w:rsid w:val="001F58B7"/>
    <w:rsid w:val="001F7706"/>
    <w:rsid w:val="001F7CDC"/>
    <w:rsid w:val="0020040B"/>
    <w:rsid w:val="0020161F"/>
    <w:rsid w:val="00210A43"/>
    <w:rsid w:val="002140F6"/>
    <w:rsid w:val="00217592"/>
    <w:rsid w:val="00220B69"/>
    <w:rsid w:val="00222B08"/>
    <w:rsid w:val="00222B9C"/>
    <w:rsid w:val="002247F4"/>
    <w:rsid w:val="00230649"/>
    <w:rsid w:val="00232B1D"/>
    <w:rsid w:val="00236A6C"/>
    <w:rsid w:val="00240A02"/>
    <w:rsid w:val="0024428F"/>
    <w:rsid w:val="00245DB5"/>
    <w:rsid w:val="002466CA"/>
    <w:rsid w:val="00246D00"/>
    <w:rsid w:val="00251D25"/>
    <w:rsid w:val="00253306"/>
    <w:rsid w:val="00255F59"/>
    <w:rsid w:val="002604EE"/>
    <w:rsid w:val="0026625E"/>
    <w:rsid w:val="00272EAA"/>
    <w:rsid w:val="002777CA"/>
    <w:rsid w:val="00277A49"/>
    <w:rsid w:val="00283227"/>
    <w:rsid w:val="00294891"/>
    <w:rsid w:val="002A2FE9"/>
    <w:rsid w:val="002A49D4"/>
    <w:rsid w:val="002B15B9"/>
    <w:rsid w:val="002B5773"/>
    <w:rsid w:val="002B690C"/>
    <w:rsid w:val="002B6A4D"/>
    <w:rsid w:val="002C0258"/>
    <w:rsid w:val="002D0C5B"/>
    <w:rsid w:val="002D0F9D"/>
    <w:rsid w:val="002D2171"/>
    <w:rsid w:val="002D220C"/>
    <w:rsid w:val="002D3383"/>
    <w:rsid w:val="002E04D0"/>
    <w:rsid w:val="002E2562"/>
    <w:rsid w:val="002E27CF"/>
    <w:rsid w:val="002F0F23"/>
    <w:rsid w:val="002F36CB"/>
    <w:rsid w:val="00303559"/>
    <w:rsid w:val="003036F3"/>
    <w:rsid w:val="00303E06"/>
    <w:rsid w:val="003064CE"/>
    <w:rsid w:val="00307AD9"/>
    <w:rsid w:val="00311843"/>
    <w:rsid w:val="0031265C"/>
    <w:rsid w:val="003253DD"/>
    <w:rsid w:val="003264D9"/>
    <w:rsid w:val="00332743"/>
    <w:rsid w:val="003335A3"/>
    <w:rsid w:val="00333B32"/>
    <w:rsid w:val="003418C4"/>
    <w:rsid w:val="00341938"/>
    <w:rsid w:val="00344651"/>
    <w:rsid w:val="003447E2"/>
    <w:rsid w:val="0034480E"/>
    <w:rsid w:val="00350DF7"/>
    <w:rsid w:val="00356A27"/>
    <w:rsid w:val="003610E2"/>
    <w:rsid w:val="003618B4"/>
    <w:rsid w:val="00361BBA"/>
    <w:rsid w:val="00362E70"/>
    <w:rsid w:val="00366CFB"/>
    <w:rsid w:val="00371F80"/>
    <w:rsid w:val="00382C8E"/>
    <w:rsid w:val="003841D2"/>
    <w:rsid w:val="0038642A"/>
    <w:rsid w:val="00390B87"/>
    <w:rsid w:val="00392136"/>
    <w:rsid w:val="00394A18"/>
    <w:rsid w:val="0039706C"/>
    <w:rsid w:val="003A2709"/>
    <w:rsid w:val="003A4771"/>
    <w:rsid w:val="003A75AC"/>
    <w:rsid w:val="003B1E35"/>
    <w:rsid w:val="003B41AD"/>
    <w:rsid w:val="003C2809"/>
    <w:rsid w:val="003C4AD9"/>
    <w:rsid w:val="003D21D2"/>
    <w:rsid w:val="003D2CE1"/>
    <w:rsid w:val="003D33D5"/>
    <w:rsid w:val="003E2A40"/>
    <w:rsid w:val="003E4AD9"/>
    <w:rsid w:val="003E637B"/>
    <w:rsid w:val="003F1B21"/>
    <w:rsid w:val="003F36D8"/>
    <w:rsid w:val="003F5B47"/>
    <w:rsid w:val="0040157F"/>
    <w:rsid w:val="00404164"/>
    <w:rsid w:val="00410B20"/>
    <w:rsid w:val="004136E6"/>
    <w:rsid w:val="0042086A"/>
    <w:rsid w:val="00420949"/>
    <w:rsid w:val="00420DBE"/>
    <w:rsid w:val="00421C87"/>
    <w:rsid w:val="004228AB"/>
    <w:rsid w:val="00422DBA"/>
    <w:rsid w:val="0042440D"/>
    <w:rsid w:val="00424BF7"/>
    <w:rsid w:val="00426672"/>
    <w:rsid w:val="00426768"/>
    <w:rsid w:val="00427D75"/>
    <w:rsid w:val="00431B06"/>
    <w:rsid w:val="004350BA"/>
    <w:rsid w:val="0043617C"/>
    <w:rsid w:val="00440F89"/>
    <w:rsid w:val="00444E2E"/>
    <w:rsid w:val="0044542E"/>
    <w:rsid w:val="004547CA"/>
    <w:rsid w:val="004574C9"/>
    <w:rsid w:val="00464053"/>
    <w:rsid w:val="00467A45"/>
    <w:rsid w:val="00467BF4"/>
    <w:rsid w:val="00470F47"/>
    <w:rsid w:val="00471449"/>
    <w:rsid w:val="00474CA1"/>
    <w:rsid w:val="004771D6"/>
    <w:rsid w:val="004775B7"/>
    <w:rsid w:val="00477A99"/>
    <w:rsid w:val="004855F4"/>
    <w:rsid w:val="00486663"/>
    <w:rsid w:val="0049140F"/>
    <w:rsid w:val="00492599"/>
    <w:rsid w:val="004937B2"/>
    <w:rsid w:val="00493BC0"/>
    <w:rsid w:val="00494348"/>
    <w:rsid w:val="00495148"/>
    <w:rsid w:val="00495860"/>
    <w:rsid w:val="00496E37"/>
    <w:rsid w:val="004A082F"/>
    <w:rsid w:val="004A3400"/>
    <w:rsid w:val="004A354B"/>
    <w:rsid w:val="004A3D02"/>
    <w:rsid w:val="004A4C34"/>
    <w:rsid w:val="004A6C0E"/>
    <w:rsid w:val="004B1B94"/>
    <w:rsid w:val="004B2D02"/>
    <w:rsid w:val="004B6892"/>
    <w:rsid w:val="004B6901"/>
    <w:rsid w:val="004C71C4"/>
    <w:rsid w:val="004C77A2"/>
    <w:rsid w:val="004D5A16"/>
    <w:rsid w:val="004D5C60"/>
    <w:rsid w:val="004E734B"/>
    <w:rsid w:val="004F3719"/>
    <w:rsid w:val="004F4478"/>
    <w:rsid w:val="004F476B"/>
    <w:rsid w:val="004F5F2D"/>
    <w:rsid w:val="004F6C7C"/>
    <w:rsid w:val="004F7055"/>
    <w:rsid w:val="00502D56"/>
    <w:rsid w:val="0050425F"/>
    <w:rsid w:val="00514673"/>
    <w:rsid w:val="00517612"/>
    <w:rsid w:val="00517716"/>
    <w:rsid w:val="00530923"/>
    <w:rsid w:val="0053111F"/>
    <w:rsid w:val="00532E0A"/>
    <w:rsid w:val="00540077"/>
    <w:rsid w:val="005418AA"/>
    <w:rsid w:val="00544C3E"/>
    <w:rsid w:val="00545FB2"/>
    <w:rsid w:val="00546370"/>
    <w:rsid w:val="00550030"/>
    <w:rsid w:val="0055070E"/>
    <w:rsid w:val="00550D1F"/>
    <w:rsid w:val="00551A23"/>
    <w:rsid w:val="005676E9"/>
    <w:rsid w:val="00567AF9"/>
    <w:rsid w:val="00570832"/>
    <w:rsid w:val="0057599D"/>
    <w:rsid w:val="00581723"/>
    <w:rsid w:val="005817A1"/>
    <w:rsid w:val="00581A2A"/>
    <w:rsid w:val="005945CB"/>
    <w:rsid w:val="00595517"/>
    <w:rsid w:val="00597FF9"/>
    <w:rsid w:val="005A0647"/>
    <w:rsid w:val="005A66DF"/>
    <w:rsid w:val="005A7546"/>
    <w:rsid w:val="005B1E32"/>
    <w:rsid w:val="005B58DF"/>
    <w:rsid w:val="005B66C5"/>
    <w:rsid w:val="005B716E"/>
    <w:rsid w:val="005C045E"/>
    <w:rsid w:val="005C1409"/>
    <w:rsid w:val="005C39BC"/>
    <w:rsid w:val="005C6028"/>
    <w:rsid w:val="005D1BEF"/>
    <w:rsid w:val="005D1F98"/>
    <w:rsid w:val="005D7CB6"/>
    <w:rsid w:val="005E0FBB"/>
    <w:rsid w:val="005E768C"/>
    <w:rsid w:val="005F08F1"/>
    <w:rsid w:val="005F1A20"/>
    <w:rsid w:val="005F3296"/>
    <w:rsid w:val="005F5192"/>
    <w:rsid w:val="005F63C9"/>
    <w:rsid w:val="0060013C"/>
    <w:rsid w:val="0060438E"/>
    <w:rsid w:val="00610287"/>
    <w:rsid w:val="006102B8"/>
    <w:rsid w:val="00611589"/>
    <w:rsid w:val="006116EC"/>
    <w:rsid w:val="00613C5A"/>
    <w:rsid w:val="006147E8"/>
    <w:rsid w:val="006154C8"/>
    <w:rsid w:val="006223B7"/>
    <w:rsid w:val="00623965"/>
    <w:rsid w:val="00623B3A"/>
    <w:rsid w:val="00624D3E"/>
    <w:rsid w:val="00626126"/>
    <w:rsid w:val="0062681C"/>
    <w:rsid w:val="0062712B"/>
    <w:rsid w:val="00633233"/>
    <w:rsid w:val="00635B47"/>
    <w:rsid w:val="006365E9"/>
    <w:rsid w:val="00646DCE"/>
    <w:rsid w:val="006470B8"/>
    <w:rsid w:val="00647657"/>
    <w:rsid w:val="0065155B"/>
    <w:rsid w:val="00653BE0"/>
    <w:rsid w:val="0065624E"/>
    <w:rsid w:val="0065659A"/>
    <w:rsid w:val="00656A09"/>
    <w:rsid w:val="0065710B"/>
    <w:rsid w:val="00661E71"/>
    <w:rsid w:val="00662619"/>
    <w:rsid w:val="00665A26"/>
    <w:rsid w:val="00666F34"/>
    <w:rsid w:val="00676D0D"/>
    <w:rsid w:val="0068138C"/>
    <w:rsid w:val="0069062F"/>
    <w:rsid w:val="00690AAA"/>
    <w:rsid w:val="00692981"/>
    <w:rsid w:val="00693485"/>
    <w:rsid w:val="00693E77"/>
    <w:rsid w:val="00695446"/>
    <w:rsid w:val="006971E0"/>
    <w:rsid w:val="006A315F"/>
    <w:rsid w:val="006B06D3"/>
    <w:rsid w:val="006B0A51"/>
    <w:rsid w:val="006B60D0"/>
    <w:rsid w:val="006C3FE1"/>
    <w:rsid w:val="006C55AB"/>
    <w:rsid w:val="006D4CF2"/>
    <w:rsid w:val="006D7EF6"/>
    <w:rsid w:val="006E05CB"/>
    <w:rsid w:val="006E1CE0"/>
    <w:rsid w:val="006E2C2C"/>
    <w:rsid w:val="006E3863"/>
    <w:rsid w:val="006E4610"/>
    <w:rsid w:val="006E46F3"/>
    <w:rsid w:val="006E64BD"/>
    <w:rsid w:val="006F139F"/>
    <w:rsid w:val="006F2C64"/>
    <w:rsid w:val="006F3302"/>
    <w:rsid w:val="006F5369"/>
    <w:rsid w:val="00706448"/>
    <w:rsid w:val="007064DB"/>
    <w:rsid w:val="0071570F"/>
    <w:rsid w:val="00722ABF"/>
    <w:rsid w:val="00727070"/>
    <w:rsid w:val="00730AD2"/>
    <w:rsid w:val="00731124"/>
    <w:rsid w:val="00732ED1"/>
    <w:rsid w:val="00736D5C"/>
    <w:rsid w:val="00740AD5"/>
    <w:rsid w:val="007437F8"/>
    <w:rsid w:val="00745FED"/>
    <w:rsid w:val="00755D6F"/>
    <w:rsid w:val="007565A2"/>
    <w:rsid w:val="00763D9F"/>
    <w:rsid w:val="007651C7"/>
    <w:rsid w:val="0076724D"/>
    <w:rsid w:val="00770B9B"/>
    <w:rsid w:val="007711A5"/>
    <w:rsid w:val="00776FEA"/>
    <w:rsid w:val="007819E1"/>
    <w:rsid w:val="00782952"/>
    <w:rsid w:val="00783161"/>
    <w:rsid w:val="0078469D"/>
    <w:rsid w:val="00786531"/>
    <w:rsid w:val="007A2B48"/>
    <w:rsid w:val="007A340A"/>
    <w:rsid w:val="007A5518"/>
    <w:rsid w:val="007B0693"/>
    <w:rsid w:val="007B0DEA"/>
    <w:rsid w:val="007B3E68"/>
    <w:rsid w:val="007B3E7B"/>
    <w:rsid w:val="007D21E5"/>
    <w:rsid w:val="007E62AA"/>
    <w:rsid w:val="007F5B3D"/>
    <w:rsid w:val="007F6616"/>
    <w:rsid w:val="00811164"/>
    <w:rsid w:val="00813017"/>
    <w:rsid w:val="00813CB8"/>
    <w:rsid w:val="00815077"/>
    <w:rsid w:val="00820E1E"/>
    <w:rsid w:val="00825D62"/>
    <w:rsid w:val="0082605E"/>
    <w:rsid w:val="00830DC8"/>
    <w:rsid w:val="00833D36"/>
    <w:rsid w:val="00840035"/>
    <w:rsid w:val="008404A7"/>
    <w:rsid w:val="00841D92"/>
    <w:rsid w:val="0085628F"/>
    <w:rsid w:val="00860725"/>
    <w:rsid w:val="008634EB"/>
    <w:rsid w:val="00863A8B"/>
    <w:rsid w:val="00864C5B"/>
    <w:rsid w:val="0086541C"/>
    <w:rsid w:val="00865A5F"/>
    <w:rsid w:val="00865EE6"/>
    <w:rsid w:val="00866FFA"/>
    <w:rsid w:val="00867723"/>
    <w:rsid w:val="00867E8C"/>
    <w:rsid w:val="0087136B"/>
    <w:rsid w:val="00872FAE"/>
    <w:rsid w:val="00873486"/>
    <w:rsid w:val="008734E2"/>
    <w:rsid w:val="008756F0"/>
    <w:rsid w:val="00875869"/>
    <w:rsid w:val="00876903"/>
    <w:rsid w:val="008807F9"/>
    <w:rsid w:val="00882910"/>
    <w:rsid w:val="008846D0"/>
    <w:rsid w:val="0088619F"/>
    <w:rsid w:val="008879A4"/>
    <w:rsid w:val="00891B84"/>
    <w:rsid w:val="008A0C2C"/>
    <w:rsid w:val="008A22A1"/>
    <w:rsid w:val="008A771E"/>
    <w:rsid w:val="008B249D"/>
    <w:rsid w:val="008B5A82"/>
    <w:rsid w:val="008C0598"/>
    <w:rsid w:val="008C0ADD"/>
    <w:rsid w:val="008C3318"/>
    <w:rsid w:val="008D0C7C"/>
    <w:rsid w:val="008D14C3"/>
    <w:rsid w:val="008D69BF"/>
    <w:rsid w:val="008D7B64"/>
    <w:rsid w:val="008E1458"/>
    <w:rsid w:val="008E6E3C"/>
    <w:rsid w:val="008F4EC5"/>
    <w:rsid w:val="008F5988"/>
    <w:rsid w:val="008F660A"/>
    <w:rsid w:val="008F71B9"/>
    <w:rsid w:val="00903F97"/>
    <w:rsid w:val="00904A1E"/>
    <w:rsid w:val="0091255A"/>
    <w:rsid w:val="00913AAF"/>
    <w:rsid w:val="00916891"/>
    <w:rsid w:val="00920714"/>
    <w:rsid w:val="00921102"/>
    <w:rsid w:val="009241BB"/>
    <w:rsid w:val="00924AF9"/>
    <w:rsid w:val="00924CC3"/>
    <w:rsid w:val="009324D3"/>
    <w:rsid w:val="00935090"/>
    <w:rsid w:val="009424BB"/>
    <w:rsid w:val="00942F71"/>
    <w:rsid w:val="00944E5B"/>
    <w:rsid w:val="00950189"/>
    <w:rsid w:val="0095358D"/>
    <w:rsid w:val="00953600"/>
    <w:rsid w:val="00955305"/>
    <w:rsid w:val="00956549"/>
    <w:rsid w:val="00956E74"/>
    <w:rsid w:val="00962275"/>
    <w:rsid w:val="009676F2"/>
    <w:rsid w:val="009746C0"/>
    <w:rsid w:val="0097529D"/>
    <w:rsid w:val="00976168"/>
    <w:rsid w:val="00976D99"/>
    <w:rsid w:val="00977EB5"/>
    <w:rsid w:val="009813B3"/>
    <w:rsid w:val="009825C3"/>
    <w:rsid w:val="00986B9F"/>
    <w:rsid w:val="00993918"/>
    <w:rsid w:val="00993C12"/>
    <w:rsid w:val="009A1488"/>
    <w:rsid w:val="009B6486"/>
    <w:rsid w:val="009C1819"/>
    <w:rsid w:val="009C6EBE"/>
    <w:rsid w:val="009D37F9"/>
    <w:rsid w:val="009D4756"/>
    <w:rsid w:val="009E16D6"/>
    <w:rsid w:val="009E4882"/>
    <w:rsid w:val="009F2E6C"/>
    <w:rsid w:val="009F725E"/>
    <w:rsid w:val="00A0424C"/>
    <w:rsid w:val="00A05CB2"/>
    <w:rsid w:val="00A10385"/>
    <w:rsid w:val="00A129DE"/>
    <w:rsid w:val="00A1408C"/>
    <w:rsid w:val="00A2533A"/>
    <w:rsid w:val="00A277FF"/>
    <w:rsid w:val="00A3407B"/>
    <w:rsid w:val="00A34810"/>
    <w:rsid w:val="00A35E74"/>
    <w:rsid w:val="00A37772"/>
    <w:rsid w:val="00A43FBC"/>
    <w:rsid w:val="00A45748"/>
    <w:rsid w:val="00A52581"/>
    <w:rsid w:val="00A53621"/>
    <w:rsid w:val="00A5382E"/>
    <w:rsid w:val="00A543FE"/>
    <w:rsid w:val="00A5684C"/>
    <w:rsid w:val="00A601FA"/>
    <w:rsid w:val="00A6093A"/>
    <w:rsid w:val="00A609D4"/>
    <w:rsid w:val="00A60BFF"/>
    <w:rsid w:val="00A62F60"/>
    <w:rsid w:val="00A63994"/>
    <w:rsid w:val="00A66A15"/>
    <w:rsid w:val="00A70E88"/>
    <w:rsid w:val="00A76204"/>
    <w:rsid w:val="00A80400"/>
    <w:rsid w:val="00A821A3"/>
    <w:rsid w:val="00A82771"/>
    <w:rsid w:val="00A82BE9"/>
    <w:rsid w:val="00A85D78"/>
    <w:rsid w:val="00A87231"/>
    <w:rsid w:val="00A90FC1"/>
    <w:rsid w:val="00A9188A"/>
    <w:rsid w:val="00A92611"/>
    <w:rsid w:val="00A94297"/>
    <w:rsid w:val="00AA6DE5"/>
    <w:rsid w:val="00AB11EB"/>
    <w:rsid w:val="00AB251C"/>
    <w:rsid w:val="00AB6FB6"/>
    <w:rsid w:val="00AC757F"/>
    <w:rsid w:val="00AC79D5"/>
    <w:rsid w:val="00AD0767"/>
    <w:rsid w:val="00AD2BF5"/>
    <w:rsid w:val="00AD4CF1"/>
    <w:rsid w:val="00AD54F0"/>
    <w:rsid w:val="00AD5905"/>
    <w:rsid w:val="00AE1628"/>
    <w:rsid w:val="00AE4F89"/>
    <w:rsid w:val="00AE5F15"/>
    <w:rsid w:val="00AE6AEC"/>
    <w:rsid w:val="00AE6E44"/>
    <w:rsid w:val="00AF18A9"/>
    <w:rsid w:val="00AF2CD8"/>
    <w:rsid w:val="00AF34C4"/>
    <w:rsid w:val="00AF368D"/>
    <w:rsid w:val="00AF379E"/>
    <w:rsid w:val="00AF51CA"/>
    <w:rsid w:val="00B024EB"/>
    <w:rsid w:val="00B044DD"/>
    <w:rsid w:val="00B1119A"/>
    <w:rsid w:val="00B119D0"/>
    <w:rsid w:val="00B12A3B"/>
    <w:rsid w:val="00B16666"/>
    <w:rsid w:val="00B16FDD"/>
    <w:rsid w:val="00B17F3B"/>
    <w:rsid w:val="00B2142C"/>
    <w:rsid w:val="00B22247"/>
    <w:rsid w:val="00B2406F"/>
    <w:rsid w:val="00B30406"/>
    <w:rsid w:val="00B30DE8"/>
    <w:rsid w:val="00B33810"/>
    <w:rsid w:val="00B35E81"/>
    <w:rsid w:val="00B37DDC"/>
    <w:rsid w:val="00B41C15"/>
    <w:rsid w:val="00B44177"/>
    <w:rsid w:val="00B476C1"/>
    <w:rsid w:val="00B53091"/>
    <w:rsid w:val="00B5723E"/>
    <w:rsid w:val="00B61642"/>
    <w:rsid w:val="00B638D3"/>
    <w:rsid w:val="00B70DC8"/>
    <w:rsid w:val="00B72267"/>
    <w:rsid w:val="00B76B9B"/>
    <w:rsid w:val="00B82072"/>
    <w:rsid w:val="00B82D64"/>
    <w:rsid w:val="00B83904"/>
    <w:rsid w:val="00B8670C"/>
    <w:rsid w:val="00B911A3"/>
    <w:rsid w:val="00B93630"/>
    <w:rsid w:val="00B937CA"/>
    <w:rsid w:val="00BA1D1B"/>
    <w:rsid w:val="00BA26C4"/>
    <w:rsid w:val="00BA5567"/>
    <w:rsid w:val="00BB427D"/>
    <w:rsid w:val="00BB718B"/>
    <w:rsid w:val="00BC15B3"/>
    <w:rsid w:val="00BC35BE"/>
    <w:rsid w:val="00BC492D"/>
    <w:rsid w:val="00BC5F4E"/>
    <w:rsid w:val="00BC7E24"/>
    <w:rsid w:val="00BD06B7"/>
    <w:rsid w:val="00BD07F4"/>
    <w:rsid w:val="00BD1258"/>
    <w:rsid w:val="00BD235B"/>
    <w:rsid w:val="00BD36A0"/>
    <w:rsid w:val="00BD4499"/>
    <w:rsid w:val="00BE1CDA"/>
    <w:rsid w:val="00BE2CBB"/>
    <w:rsid w:val="00BE5753"/>
    <w:rsid w:val="00BE6119"/>
    <w:rsid w:val="00BF1E3C"/>
    <w:rsid w:val="00BF1F82"/>
    <w:rsid w:val="00BF7572"/>
    <w:rsid w:val="00C028F9"/>
    <w:rsid w:val="00C148EB"/>
    <w:rsid w:val="00C17593"/>
    <w:rsid w:val="00C17635"/>
    <w:rsid w:val="00C21084"/>
    <w:rsid w:val="00C23DCF"/>
    <w:rsid w:val="00C246B9"/>
    <w:rsid w:val="00C270E6"/>
    <w:rsid w:val="00C30967"/>
    <w:rsid w:val="00C326B0"/>
    <w:rsid w:val="00C34CCB"/>
    <w:rsid w:val="00C40D18"/>
    <w:rsid w:val="00C42D56"/>
    <w:rsid w:val="00C50B37"/>
    <w:rsid w:val="00C5205B"/>
    <w:rsid w:val="00C53939"/>
    <w:rsid w:val="00C5528C"/>
    <w:rsid w:val="00C55D3B"/>
    <w:rsid w:val="00C57C7F"/>
    <w:rsid w:val="00C61E20"/>
    <w:rsid w:val="00C634A8"/>
    <w:rsid w:val="00C668D5"/>
    <w:rsid w:val="00C67D44"/>
    <w:rsid w:val="00C75424"/>
    <w:rsid w:val="00C77CEB"/>
    <w:rsid w:val="00C823A6"/>
    <w:rsid w:val="00C830C7"/>
    <w:rsid w:val="00C8351F"/>
    <w:rsid w:val="00C83DA5"/>
    <w:rsid w:val="00C86C53"/>
    <w:rsid w:val="00C86E31"/>
    <w:rsid w:val="00C87C8F"/>
    <w:rsid w:val="00C9719F"/>
    <w:rsid w:val="00CA017B"/>
    <w:rsid w:val="00CA55A3"/>
    <w:rsid w:val="00CA61D7"/>
    <w:rsid w:val="00CA7194"/>
    <w:rsid w:val="00CB0135"/>
    <w:rsid w:val="00CB06B4"/>
    <w:rsid w:val="00CB0EB4"/>
    <w:rsid w:val="00CB3237"/>
    <w:rsid w:val="00CB4928"/>
    <w:rsid w:val="00CB5366"/>
    <w:rsid w:val="00CC0CE9"/>
    <w:rsid w:val="00CC16DC"/>
    <w:rsid w:val="00CC1C69"/>
    <w:rsid w:val="00CC3685"/>
    <w:rsid w:val="00CC3796"/>
    <w:rsid w:val="00CC4CDB"/>
    <w:rsid w:val="00CD390E"/>
    <w:rsid w:val="00CD4478"/>
    <w:rsid w:val="00CD4A0F"/>
    <w:rsid w:val="00CD7551"/>
    <w:rsid w:val="00CD7750"/>
    <w:rsid w:val="00CE3482"/>
    <w:rsid w:val="00CE68A0"/>
    <w:rsid w:val="00CE761C"/>
    <w:rsid w:val="00CF3B26"/>
    <w:rsid w:val="00CF51BE"/>
    <w:rsid w:val="00CF7079"/>
    <w:rsid w:val="00D02098"/>
    <w:rsid w:val="00D124A3"/>
    <w:rsid w:val="00D1400B"/>
    <w:rsid w:val="00D141D4"/>
    <w:rsid w:val="00D157CD"/>
    <w:rsid w:val="00D20A5E"/>
    <w:rsid w:val="00D221DF"/>
    <w:rsid w:val="00D24853"/>
    <w:rsid w:val="00D2494D"/>
    <w:rsid w:val="00D30AF0"/>
    <w:rsid w:val="00D35C77"/>
    <w:rsid w:val="00D40573"/>
    <w:rsid w:val="00D44229"/>
    <w:rsid w:val="00D44ADE"/>
    <w:rsid w:val="00D474F2"/>
    <w:rsid w:val="00D47B4D"/>
    <w:rsid w:val="00D47FC6"/>
    <w:rsid w:val="00D512DA"/>
    <w:rsid w:val="00D52F5F"/>
    <w:rsid w:val="00D55EB2"/>
    <w:rsid w:val="00D56F58"/>
    <w:rsid w:val="00D62C5D"/>
    <w:rsid w:val="00D665BF"/>
    <w:rsid w:val="00D704EB"/>
    <w:rsid w:val="00D726F2"/>
    <w:rsid w:val="00D73B3B"/>
    <w:rsid w:val="00D7423E"/>
    <w:rsid w:val="00D74339"/>
    <w:rsid w:val="00D778BB"/>
    <w:rsid w:val="00D77C80"/>
    <w:rsid w:val="00D8025D"/>
    <w:rsid w:val="00D80C6F"/>
    <w:rsid w:val="00D8392D"/>
    <w:rsid w:val="00D83A1D"/>
    <w:rsid w:val="00D843FC"/>
    <w:rsid w:val="00D8701E"/>
    <w:rsid w:val="00D924B9"/>
    <w:rsid w:val="00D9599E"/>
    <w:rsid w:val="00D95F8F"/>
    <w:rsid w:val="00D96460"/>
    <w:rsid w:val="00D9768B"/>
    <w:rsid w:val="00DA2D18"/>
    <w:rsid w:val="00DA3322"/>
    <w:rsid w:val="00DB0B1F"/>
    <w:rsid w:val="00DB0DF6"/>
    <w:rsid w:val="00DB0E7E"/>
    <w:rsid w:val="00DB14BC"/>
    <w:rsid w:val="00DB27C0"/>
    <w:rsid w:val="00DB413E"/>
    <w:rsid w:val="00DB5B3B"/>
    <w:rsid w:val="00DB5F77"/>
    <w:rsid w:val="00DC2774"/>
    <w:rsid w:val="00DC2EDF"/>
    <w:rsid w:val="00DC5FB5"/>
    <w:rsid w:val="00DD04DA"/>
    <w:rsid w:val="00DD0D1E"/>
    <w:rsid w:val="00DD213D"/>
    <w:rsid w:val="00DE391C"/>
    <w:rsid w:val="00DE3FB6"/>
    <w:rsid w:val="00DE56D4"/>
    <w:rsid w:val="00DF1718"/>
    <w:rsid w:val="00DF39DA"/>
    <w:rsid w:val="00DF3A4F"/>
    <w:rsid w:val="00DF441D"/>
    <w:rsid w:val="00DF449F"/>
    <w:rsid w:val="00DF544C"/>
    <w:rsid w:val="00DF55F0"/>
    <w:rsid w:val="00DF6CF6"/>
    <w:rsid w:val="00DF7EB6"/>
    <w:rsid w:val="00E002C7"/>
    <w:rsid w:val="00E03332"/>
    <w:rsid w:val="00E03340"/>
    <w:rsid w:val="00E06227"/>
    <w:rsid w:val="00E16452"/>
    <w:rsid w:val="00E17E2D"/>
    <w:rsid w:val="00E216CE"/>
    <w:rsid w:val="00E21977"/>
    <w:rsid w:val="00E22BB6"/>
    <w:rsid w:val="00E22BF1"/>
    <w:rsid w:val="00E24840"/>
    <w:rsid w:val="00E310E0"/>
    <w:rsid w:val="00E311F6"/>
    <w:rsid w:val="00E31A0D"/>
    <w:rsid w:val="00E33F0C"/>
    <w:rsid w:val="00E344A6"/>
    <w:rsid w:val="00E3494F"/>
    <w:rsid w:val="00E42BB8"/>
    <w:rsid w:val="00E4373B"/>
    <w:rsid w:val="00E46AB0"/>
    <w:rsid w:val="00E46FF7"/>
    <w:rsid w:val="00E4705F"/>
    <w:rsid w:val="00E47410"/>
    <w:rsid w:val="00E50B5C"/>
    <w:rsid w:val="00E52DBB"/>
    <w:rsid w:val="00E53830"/>
    <w:rsid w:val="00E6041D"/>
    <w:rsid w:val="00E633BF"/>
    <w:rsid w:val="00E6434A"/>
    <w:rsid w:val="00E77642"/>
    <w:rsid w:val="00E8352A"/>
    <w:rsid w:val="00E86011"/>
    <w:rsid w:val="00E8648F"/>
    <w:rsid w:val="00E87407"/>
    <w:rsid w:val="00E87B56"/>
    <w:rsid w:val="00E917D3"/>
    <w:rsid w:val="00EA0E0C"/>
    <w:rsid w:val="00EA179B"/>
    <w:rsid w:val="00EA5A34"/>
    <w:rsid w:val="00EA61C2"/>
    <w:rsid w:val="00EB10EE"/>
    <w:rsid w:val="00EB5114"/>
    <w:rsid w:val="00EB6008"/>
    <w:rsid w:val="00EB6ED6"/>
    <w:rsid w:val="00EB722C"/>
    <w:rsid w:val="00EC11BA"/>
    <w:rsid w:val="00EC171A"/>
    <w:rsid w:val="00EC4BD7"/>
    <w:rsid w:val="00EC5A11"/>
    <w:rsid w:val="00EC5BD9"/>
    <w:rsid w:val="00EC76E1"/>
    <w:rsid w:val="00ED329D"/>
    <w:rsid w:val="00ED3C7B"/>
    <w:rsid w:val="00EE2647"/>
    <w:rsid w:val="00EE4281"/>
    <w:rsid w:val="00EE4EBB"/>
    <w:rsid w:val="00EE51DE"/>
    <w:rsid w:val="00EE7DC4"/>
    <w:rsid w:val="00EF3C49"/>
    <w:rsid w:val="00EF4C1E"/>
    <w:rsid w:val="00EF53CF"/>
    <w:rsid w:val="00F002F0"/>
    <w:rsid w:val="00F0317F"/>
    <w:rsid w:val="00F0372F"/>
    <w:rsid w:val="00F047F7"/>
    <w:rsid w:val="00F1045A"/>
    <w:rsid w:val="00F10946"/>
    <w:rsid w:val="00F120BC"/>
    <w:rsid w:val="00F17459"/>
    <w:rsid w:val="00F22F90"/>
    <w:rsid w:val="00F2515C"/>
    <w:rsid w:val="00F311B8"/>
    <w:rsid w:val="00F3419D"/>
    <w:rsid w:val="00F356EB"/>
    <w:rsid w:val="00F35C6F"/>
    <w:rsid w:val="00F36C1C"/>
    <w:rsid w:val="00F41625"/>
    <w:rsid w:val="00F42CE4"/>
    <w:rsid w:val="00F446A0"/>
    <w:rsid w:val="00F56C1F"/>
    <w:rsid w:val="00F63228"/>
    <w:rsid w:val="00F646AE"/>
    <w:rsid w:val="00F66AD2"/>
    <w:rsid w:val="00F67B4C"/>
    <w:rsid w:val="00F70D1D"/>
    <w:rsid w:val="00F70E74"/>
    <w:rsid w:val="00F72A3B"/>
    <w:rsid w:val="00F73001"/>
    <w:rsid w:val="00F73573"/>
    <w:rsid w:val="00F73A37"/>
    <w:rsid w:val="00F770C1"/>
    <w:rsid w:val="00F77A8B"/>
    <w:rsid w:val="00F807E0"/>
    <w:rsid w:val="00F85590"/>
    <w:rsid w:val="00F86446"/>
    <w:rsid w:val="00F8687D"/>
    <w:rsid w:val="00F877AC"/>
    <w:rsid w:val="00F93B8C"/>
    <w:rsid w:val="00F95AF1"/>
    <w:rsid w:val="00FA0A15"/>
    <w:rsid w:val="00FA47EF"/>
    <w:rsid w:val="00FB2879"/>
    <w:rsid w:val="00FB2E83"/>
    <w:rsid w:val="00FC41F7"/>
    <w:rsid w:val="00FC6C19"/>
    <w:rsid w:val="00FD6236"/>
    <w:rsid w:val="00FE2FAF"/>
    <w:rsid w:val="00FE656A"/>
    <w:rsid w:val="00FE7B9F"/>
    <w:rsid w:val="00FF44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1F67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FFA"/>
    <w:pPr>
      <w:tabs>
        <w:tab w:val="left" w:pos="567"/>
      </w:tabs>
      <w:spacing w:after="140" w:line="280" w:lineRule="atLeast"/>
      <w:jc w:val="both"/>
    </w:pPr>
    <w:rPr>
      <w:rFonts w:asciiTheme="majorHAnsi" w:hAnsiTheme="majorHAnsi" w:cstheme="majorHAnsi"/>
      <w:sz w:val="22"/>
      <w:szCs w:val="22"/>
    </w:rPr>
  </w:style>
  <w:style w:type="paragraph" w:styleId="Heading1">
    <w:name w:val="heading 1"/>
    <w:next w:val="BodyText"/>
    <w:link w:val="Heading1Char"/>
    <w:qFormat/>
    <w:rsid w:val="00546370"/>
    <w:pPr>
      <w:keepNext/>
      <w:spacing w:before="140" w:after="140" w:line="280" w:lineRule="atLeast"/>
      <w:outlineLvl w:val="0"/>
    </w:pPr>
    <w:rPr>
      <w:rFonts w:ascii="Arial" w:hAnsi="Arial"/>
      <w:noProof/>
      <w:kern w:val="32"/>
      <w:sz w:val="28"/>
      <w:lang w:val="en-US"/>
    </w:rPr>
  </w:style>
  <w:style w:type="paragraph" w:styleId="Heading2">
    <w:name w:val="heading 2"/>
    <w:next w:val="BodyText"/>
    <w:link w:val="Heading2Char"/>
    <w:qFormat/>
    <w:rsid w:val="00866FFA"/>
    <w:pPr>
      <w:keepNext/>
      <w:spacing w:before="280" w:after="140" w:line="280" w:lineRule="atLeast"/>
      <w:outlineLvl w:val="1"/>
    </w:pPr>
    <w:rPr>
      <w:rFonts w:asciiTheme="majorHAnsi" w:hAnsiTheme="majorHAnsi" w:cstheme="majorHAnsi"/>
      <w:noProof/>
      <w:sz w:val="28"/>
      <w:szCs w:val="28"/>
      <w:lang w:val="en-US"/>
    </w:rPr>
  </w:style>
  <w:style w:type="paragraph" w:styleId="Heading3">
    <w:name w:val="heading 3"/>
    <w:next w:val="BodyText"/>
    <w:link w:val="Heading3Char"/>
    <w:qFormat/>
    <w:rsid w:val="00546370"/>
    <w:pPr>
      <w:keepNext/>
      <w:spacing w:before="140" w:after="140" w:line="280" w:lineRule="atLeast"/>
      <w:outlineLvl w:val="2"/>
    </w:pPr>
    <w:rPr>
      <w:rFonts w:ascii="Arial" w:hAnsi="Arial"/>
      <w:b/>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42CE4"/>
    <w:pPr>
      <w:tabs>
        <w:tab w:val="left" w:pos="357"/>
        <w:tab w:val="center" w:pos="4320"/>
        <w:tab w:val="right" w:pos="8640"/>
      </w:tabs>
    </w:pPr>
    <w:rPr>
      <w:sz w:val="18"/>
    </w:rPr>
  </w:style>
  <w:style w:type="paragraph" w:styleId="Footer">
    <w:name w:val="footer"/>
    <w:basedOn w:val="Normal"/>
    <w:rsid w:val="00F42CE4"/>
    <w:rPr>
      <w:sz w:val="18"/>
    </w:rPr>
  </w:style>
  <w:style w:type="character" w:styleId="PageNumber">
    <w:name w:val="page number"/>
    <w:rsid w:val="00BC7E24"/>
    <w:rPr>
      <w:rFonts w:ascii="Arial" w:hAnsi="Arial"/>
      <w:sz w:val="18"/>
    </w:rPr>
  </w:style>
  <w:style w:type="paragraph" w:styleId="TOC2">
    <w:name w:val="toc 2"/>
    <w:next w:val="Normal"/>
    <w:autoRedefine/>
    <w:uiPriority w:val="39"/>
    <w:rsid w:val="00AB6FB6"/>
    <w:pPr>
      <w:tabs>
        <w:tab w:val="left" w:pos="1134"/>
        <w:tab w:val="left" w:pos="2268"/>
        <w:tab w:val="left" w:pos="2552"/>
        <w:tab w:val="left" w:pos="3119"/>
        <w:tab w:val="right" w:leader="dot" w:pos="8448"/>
      </w:tabs>
      <w:spacing w:before="60" w:after="60"/>
      <w:ind w:left="3119" w:right="1134" w:hanging="3119"/>
    </w:pPr>
    <w:rPr>
      <w:rFonts w:ascii="Arial" w:hAnsi="Arial"/>
      <w:noProof/>
      <w:lang w:eastAsia="en-GB"/>
    </w:rPr>
  </w:style>
  <w:style w:type="paragraph" w:styleId="TOC3">
    <w:name w:val="toc 3"/>
    <w:basedOn w:val="BodyText"/>
    <w:next w:val="Normal"/>
    <w:autoRedefine/>
    <w:semiHidden/>
    <w:pPr>
      <w:tabs>
        <w:tab w:val="left" w:pos="851"/>
        <w:tab w:val="left" w:pos="1134"/>
        <w:tab w:val="left" w:pos="2268"/>
        <w:tab w:val="right" w:leader="dot" w:pos="8448"/>
      </w:tabs>
      <w:spacing w:after="0"/>
      <w:ind w:left="2268" w:right="1134"/>
    </w:pPr>
    <w:rPr>
      <w:noProof/>
    </w:rPr>
  </w:style>
  <w:style w:type="paragraph" w:styleId="BodyText">
    <w:name w:val="Body Text"/>
    <w:basedOn w:val="Normal"/>
    <w:link w:val="BodyTextChar"/>
    <w:rsid w:val="00546370"/>
  </w:style>
  <w:style w:type="paragraph" w:styleId="TOC4">
    <w:name w:val="toc 4"/>
    <w:basedOn w:val="Normal"/>
    <w:next w:val="Normal"/>
    <w:autoRedefine/>
    <w:semiHidden/>
    <w:pPr>
      <w:tabs>
        <w:tab w:val="right" w:leader="dot" w:pos="8448"/>
        <w:tab w:val="right" w:pos="8505"/>
      </w:tabs>
      <w:ind w:left="2835" w:right="1134"/>
    </w:pPr>
  </w:style>
  <w:style w:type="paragraph" w:customStyle="1" w:styleId="Address">
    <w:name w:val="Address"/>
    <w:pPr>
      <w:spacing w:line="180" w:lineRule="atLeast"/>
    </w:pPr>
    <w:rPr>
      <w:rFonts w:ascii="Arial" w:hAnsi="Arial"/>
      <w:noProof/>
      <w:color w:val="16288E"/>
      <w:sz w:val="16"/>
      <w:lang w:val="en-US"/>
    </w:rPr>
  </w:style>
  <w:style w:type="paragraph" w:styleId="EndnoteText">
    <w:name w:val="endnote text"/>
    <w:basedOn w:val="Normal"/>
    <w:semiHidden/>
    <w:pPr>
      <w:tabs>
        <w:tab w:val="left" w:pos="357"/>
      </w:tabs>
    </w:pPr>
  </w:style>
  <w:style w:type="paragraph" w:styleId="EnvelopeAddress">
    <w:name w:val="envelope address"/>
    <w:basedOn w:val="Normal"/>
    <w:pPr>
      <w:framePr w:w="7920" w:h="1980" w:hRule="exact" w:hSpace="180" w:wrap="auto" w:hAnchor="page" w:xAlign="center" w:yAlign="bottom"/>
      <w:tabs>
        <w:tab w:val="left" w:pos="357"/>
      </w:tabs>
      <w:ind w:left="2880"/>
    </w:pPr>
  </w:style>
  <w:style w:type="character" w:styleId="FollowedHyperlink">
    <w:name w:val="FollowedHyperlink"/>
    <w:rPr>
      <w:color w:val="808080"/>
      <w:u w:val="none"/>
    </w:rPr>
  </w:style>
  <w:style w:type="paragraph" w:styleId="FootnoteText">
    <w:name w:val="footnote text"/>
    <w:link w:val="FootnoteTextChar"/>
    <w:semiHidden/>
    <w:pPr>
      <w:spacing w:after="100" w:line="200" w:lineRule="atLeast"/>
    </w:pPr>
    <w:rPr>
      <w:rFonts w:ascii="Arial" w:hAnsi="Arial"/>
      <w:noProof/>
      <w:sz w:val="16"/>
      <w:lang w:val="en-US"/>
    </w:rPr>
  </w:style>
  <w:style w:type="character" w:styleId="Hyperlink">
    <w:name w:val="Hyperlink"/>
    <w:uiPriority w:val="99"/>
    <w:rsid w:val="00546370"/>
    <w:rPr>
      <w:rFonts w:ascii="Arial" w:hAnsi="Arial"/>
      <w:color w:val="16288E"/>
      <w:u w:val="none"/>
    </w:rPr>
  </w:style>
  <w:style w:type="paragraph" w:customStyle="1" w:styleId="Introduction">
    <w:name w:val="Introduction"/>
    <w:basedOn w:val="BodyText"/>
    <w:next w:val="BodyText"/>
    <w:rsid w:val="00546370"/>
    <w:pPr>
      <w:spacing w:before="140"/>
    </w:pPr>
    <w:rPr>
      <w:b/>
    </w:rPr>
  </w:style>
  <w:style w:type="paragraph" w:styleId="ListBullet">
    <w:name w:val="List Bullet"/>
    <w:basedOn w:val="Normal"/>
    <w:rsid w:val="00546370"/>
    <w:pPr>
      <w:numPr>
        <w:numId w:val="2"/>
      </w:numPr>
    </w:pPr>
  </w:style>
  <w:style w:type="paragraph" w:styleId="ListNumber">
    <w:name w:val="List Number"/>
    <w:basedOn w:val="Normal"/>
    <w:rsid w:val="00546370"/>
    <w:pPr>
      <w:numPr>
        <w:numId w:val="4"/>
      </w:numPr>
    </w:pPr>
  </w:style>
  <w:style w:type="paragraph" w:styleId="Title">
    <w:name w:val="Title"/>
    <w:link w:val="TitleChar"/>
    <w:qFormat/>
    <w:rsid w:val="00EE7DC4"/>
    <w:pPr>
      <w:spacing w:before="560" w:after="280" w:line="280" w:lineRule="atLeast"/>
      <w:outlineLvl w:val="0"/>
    </w:pPr>
    <w:rPr>
      <w:rFonts w:ascii="Arial" w:hAnsi="Arial"/>
      <w:noProof/>
      <w:kern w:val="28"/>
      <w:sz w:val="40"/>
      <w:lang w:val="en-US"/>
    </w:rPr>
  </w:style>
  <w:style w:type="character" w:customStyle="1" w:styleId="Heading1Char">
    <w:name w:val="Heading 1 Char"/>
    <w:link w:val="Heading1"/>
    <w:rsid w:val="00EE7DC4"/>
    <w:rPr>
      <w:rFonts w:ascii="Arial" w:hAnsi="Arial"/>
      <w:noProof/>
      <w:kern w:val="32"/>
      <w:sz w:val="28"/>
      <w:lang w:val="en-US" w:eastAsia="en-US" w:bidi="ar-SA"/>
    </w:rPr>
  </w:style>
  <w:style w:type="character" w:customStyle="1" w:styleId="Heading2Char">
    <w:name w:val="Heading 2 Char"/>
    <w:link w:val="Heading2"/>
    <w:rsid w:val="00866FFA"/>
    <w:rPr>
      <w:rFonts w:asciiTheme="majorHAnsi" w:hAnsiTheme="majorHAnsi" w:cstheme="majorHAnsi"/>
      <w:noProof/>
      <w:sz w:val="28"/>
      <w:szCs w:val="28"/>
      <w:lang w:val="en-US"/>
    </w:rPr>
  </w:style>
  <w:style w:type="character" w:customStyle="1" w:styleId="Heading3Char">
    <w:name w:val="Heading 3 Char"/>
    <w:link w:val="Heading3"/>
    <w:rsid w:val="00EE7DC4"/>
    <w:rPr>
      <w:rFonts w:ascii="Arial" w:hAnsi="Arial"/>
      <w:b/>
      <w:noProof/>
      <w:lang w:val="en-US" w:eastAsia="en-US" w:bidi="ar-SA"/>
    </w:rPr>
  </w:style>
  <w:style w:type="character" w:customStyle="1" w:styleId="TitleChar">
    <w:name w:val="Title Char"/>
    <w:link w:val="Title"/>
    <w:rsid w:val="00EE7DC4"/>
    <w:rPr>
      <w:rFonts w:ascii="Arial" w:hAnsi="Arial"/>
      <w:noProof/>
      <w:kern w:val="28"/>
      <w:sz w:val="40"/>
      <w:lang w:val="en-US" w:eastAsia="en-US" w:bidi="ar-SA"/>
    </w:rPr>
  </w:style>
  <w:style w:type="paragraph" w:customStyle="1" w:styleId="ZchnZchn1CharCharCarCar">
    <w:name w:val="Zchn Zchn1 Char Char Car Car"/>
    <w:basedOn w:val="Normal"/>
    <w:rsid w:val="00D02098"/>
    <w:pPr>
      <w:spacing w:after="160" w:line="240" w:lineRule="exact"/>
      <w:jc w:val="left"/>
    </w:pPr>
    <w:rPr>
      <w:rFonts w:ascii="Tahoma" w:hAnsi="Tahoma"/>
      <w:lang w:val="en-US"/>
    </w:rPr>
  </w:style>
  <w:style w:type="paragraph" w:customStyle="1" w:styleId="Docheader">
    <w:name w:val="Doc header"/>
    <w:basedOn w:val="Normal"/>
    <w:rsid w:val="00D02098"/>
    <w:pPr>
      <w:spacing w:after="0" w:line="280" w:lineRule="exact"/>
      <w:jc w:val="left"/>
    </w:pPr>
    <w:rPr>
      <w:sz w:val="24"/>
      <w:lang w:val="en-US"/>
    </w:rPr>
  </w:style>
  <w:style w:type="character" w:styleId="FootnoteReference">
    <w:name w:val="footnote reference"/>
    <w:semiHidden/>
    <w:rsid w:val="00D02098"/>
    <w:rPr>
      <w:vertAlign w:val="superscript"/>
    </w:rPr>
  </w:style>
  <w:style w:type="paragraph" w:styleId="BodyText3">
    <w:name w:val="Body Text 3"/>
    <w:basedOn w:val="Normal"/>
    <w:rsid w:val="00057A39"/>
    <w:pPr>
      <w:spacing w:after="120"/>
    </w:pPr>
    <w:rPr>
      <w:sz w:val="16"/>
      <w:szCs w:val="16"/>
    </w:rPr>
  </w:style>
  <w:style w:type="paragraph" w:customStyle="1" w:styleId="Indenta">
    <w:name w:val="Indent a"/>
    <w:basedOn w:val="Normal"/>
    <w:rsid w:val="00057A39"/>
    <w:pPr>
      <w:tabs>
        <w:tab w:val="left" w:pos="1134"/>
        <w:tab w:val="left" w:pos="1701"/>
        <w:tab w:val="left" w:pos="2268"/>
      </w:tabs>
      <w:spacing w:after="120" w:line="240" w:lineRule="auto"/>
      <w:ind w:left="1134" w:hanging="567"/>
      <w:jc w:val="left"/>
    </w:pPr>
    <w:rPr>
      <w:rFonts w:ascii="Times New Roman" w:hAnsi="Times New Roman"/>
      <w:lang w:eastAsia="en-GB"/>
    </w:rPr>
  </w:style>
  <w:style w:type="paragraph" w:customStyle="1" w:styleId="Tegn1CharChar">
    <w:name w:val="Tegn1 Char Char"/>
    <w:basedOn w:val="Normal"/>
    <w:rsid w:val="00057A39"/>
    <w:pPr>
      <w:tabs>
        <w:tab w:val="clear" w:pos="567"/>
      </w:tabs>
      <w:spacing w:after="160" w:line="240" w:lineRule="exact"/>
      <w:jc w:val="left"/>
    </w:pPr>
    <w:rPr>
      <w:rFonts w:ascii="Tahoma" w:hAnsi="Tahoma"/>
      <w:lang w:val="en-US"/>
    </w:rPr>
  </w:style>
  <w:style w:type="paragraph" w:styleId="BalloonText">
    <w:name w:val="Balloon Text"/>
    <w:basedOn w:val="Normal"/>
    <w:semiHidden/>
    <w:rsid w:val="001D1293"/>
    <w:rPr>
      <w:rFonts w:ascii="Tahoma" w:hAnsi="Tahoma" w:cs="Tahoma"/>
      <w:sz w:val="16"/>
      <w:szCs w:val="16"/>
    </w:rPr>
  </w:style>
  <w:style w:type="character" w:styleId="CommentReference">
    <w:name w:val="annotation reference"/>
    <w:rsid w:val="00B12A3B"/>
    <w:rPr>
      <w:sz w:val="16"/>
      <w:szCs w:val="16"/>
    </w:rPr>
  </w:style>
  <w:style w:type="paragraph" w:styleId="CommentText">
    <w:name w:val="annotation text"/>
    <w:basedOn w:val="Normal"/>
    <w:link w:val="CommentTextChar"/>
    <w:rsid w:val="00B12A3B"/>
  </w:style>
  <w:style w:type="character" w:customStyle="1" w:styleId="CommentTextChar">
    <w:name w:val="Comment Text Char"/>
    <w:link w:val="CommentText"/>
    <w:rsid w:val="00B12A3B"/>
    <w:rPr>
      <w:rFonts w:ascii="Arial" w:hAnsi="Arial"/>
      <w:lang w:eastAsia="en-US"/>
    </w:rPr>
  </w:style>
  <w:style w:type="paragraph" w:styleId="CommentSubject">
    <w:name w:val="annotation subject"/>
    <w:basedOn w:val="CommentText"/>
    <w:next w:val="CommentText"/>
    <w:link w:val="CommentSubjectChar"/>
    <w:rsid w:val="00B12A3B"/>
    <w:rPr>
      <w:b/>
      <w:bCs/>
    </w:rPr>
  </w:style>
  <w:style w:type="character" w:customStyle="1" w:styleId="CommentSubjectChar">
    <w:name w:val="Comment Subject Char"/>
    <w:link w:val="CommentSubject"/>
    <w:rsid w:val="00B12A3B"/>
    <w:rPr>
      <w:rFonts w:ascii="Arial" w:hAnsi="Arial"/>
      <w:b/>
      <w:bCs/>
      <w:lang w:eastAsia="en-US"/>
    </w:rPr>
  </w:style>
  <w:style w:type="character" w:customStyle="1" w:styleId="BodyTextChar">
    <w:name w:val="Body Text Char"/>
    <w:link w:val="BodyText"/>
    <w:rsid w:val="001E70BE"/>
    <w:rPr>
      <w:rFonts w:ascii="Arial" w:hAnsi="Arial"/>
      <w:lang w:eastAsia="en-US"/>
    </w:rPr>
  </w:style>
  <w:style w:type="paragraph" w:customStyle="1" w:styleId="ColorfulShading-Accent11">
    <w:name w:val="Colorful Shading - Accent 11"/>
    <w:hidden/>
    <w:uiPriority w:val="99"/>
    <w:semiHidden/>
    <w:rsid w:val="00A0424C"/>
    <w:rPr>
      <w:rFonts w:ascii="Arial" w:hAnsi="Arial"/>
    </w:rPr>
  </w:style>
  <w:style w:type="character" w:customStyle="1" w:styleId="FootnoteTextChar">
    <w:name w:val="Footnote Text Char"/>
    <w:link w:val="FootnoteText"/>
    <w:semiHidden/>
    <w:rsid w:val="00D124A3"/>
    <w:rPr>
      <w:rFonts w:ascii="Arial" w:hAnsi="Arial"/>
      <w:noProof/>
      <w:sz w:val="16"/>
      <w:lang w:val="en-US" w:eastAsia="en-US"/>
    </w:rPr>
  </w:style>
  <w:style w:type="character" w:customStyle="1" w:styleId="TitleChar1">
    <w:name w:val="Title Char1"/>
    <w:rsid w:val="009D4756"/>
    <w:rPr>
      <w:rFonts w:ascii="Arial" w:hAnsi="Arial"/>
      <w:noProof/>
      <w:kern w:val="28"/>
      <w:sz w:val="40"/>
      <w:lang w:val="en-US"/>
    </w:rPr>
  </w:style>
  <w:style w:type="paragraph" w:customStyle="1" w:styleId="Tegn1CharChar0">
    <w:name w:val="Tegn1 Char Char"/>
    <w:basedOn w:val="Normal"/>
    <w:rsid w:val="005A66DF"/>
    <w:pPr>
      <w:tabs>
        <w:tab w:val="clear" w:pos="567"/>
      </w:tabs>
      <w:spacing w:after="160" w:line="240" w:lineRule="exact"/>
      <w:jc w:val="left"/>
    </w:pPr>
    <w:rPr>
      <w:rFonts w:ascii="Tahoma" w:hAnsi="Tahoma"/>
      <w:lang w:val="en-US"/>
    </w:rPr>
  </w:style>
  <w:style w:type="paragraph" w:styleId="ListParagraph">
    <w:name w:val="List Paragraph"/>
    <w:basedOn w:val="Normal"/>
    <w:uiPriority w:val="72"/>
    <w:qFormat/>
    <w:rsid w:val="005A66DF"/>
    <w:pPr>
      <w:ind w:left="720"/>
      <w:contextualSpacing/>
    </w:pPr>
  </w:style>
  <w:style w:type="paragraph" w:styleId="BodyText2">
    <w:name w:val="Body Text 2"/>
    <w:basedOn w:val="Normal"/>
    <w:link w:val="BodyText2Char"/>
    <w:rsid w:val="00D512DA"/>
    <w:pPr>
      <w:spacing w:after="120" w:line="480" w:lineRule="auto"/>
    </w:pPr>
  </w:style>
  <w:style w:type="character" w:customStyle="1" w:styleId="BodyText2Char">
    <w:name w:val="Body Text 2 Char"/>
    <w:basedOn w:val="DefaultParagraphFont"/>
    <w:link w:val="BodyText2"/>
    <w:rsid w:val="00D512DA"/>
    <w:rPr>
      <w:rFonts w:ascii="Arial" w:hAnsi="Arial"/>
    </w:rPr>
  </w:style>
  <w:style w:type="paragraph" w:customStyle="1" w:styleId="Default">
    <w:name w:val="Default"/>
    <w:rsid w:val="009813B3"/>
    <w:pPr>
      <w:widowControl w:val="0"/>
      <w:autoSpaceDE w:val="0"/>
      <w:autoSpaceDN w:val="0"/>
      <w:adjustRightInd w:val="0"/>
    </w:pPr>
    <w:rPr>
      <w:rFonts w:ascii="Calibri" w:hAnsi="Calibri" w:cs="Calibri"/>
      <w:color w:val="000000"/>
      <w:sz w:val="24"/>
      <w:szCs w:val="24"/>
      <w:lang w:val="en-US"/>
    </w:rPr>
  </w:style>
  <w:style w:type="character" w:customStyle="1" w:styleId="apple-converted-space">
    <w:name w:val="apple-converted-space"/>
    <w:basedOn w:val="DefaultParagraphFont"/>
    <w:rsid w:val="00BA26C4"/>
  </w:style>
  <w:style w:type="paragraph" w:styleId="Revision">
    <w:name w:val="Revision"/>
    <w:hidden/>
    <w:uiPriority w:val="71"/>
    <w:rsid w:val="00E8352A"/>
    <w:rPr>
      <w:rFonts w:ascii="Arial" w:hAnsi="Arial"/>
    </w:rPr>
  </w:style>
  <w:style w:type="paragraph" w:customStyle="1" w:styleId="Indent1">
    <w:name w:val="Indent1"/>
    <w:basedOn w:val="Normal"/>
    <w:rsid w:val="0026625E"/>
    <w:pPr>
      <w:tabs>
        <w:tab w:val="clear" w:pos="567"/>
      </w:tabs>
      <w:spacing w:before="120" w:after="0" w:line="240" w:lineRule="auto"/>
      <w:ind w:left="1418" w:hanging="709"/>
    </w:pPr>
    <w:rPr>
      <w:rFonts w:ascii="Times New Roman" w:hAnsi="Times New Roman"/>
    </w:rPr>
  </w:style>
  <w:style w:type="paragraph" w:customStyle="1" w:styleId="Indent2">
    <w:name w:val="Indent2"/>
    <w:basedOn w:val="Normal"/>
    <w:rsid w:val="0026625E"/>
    <w:pPr>
      <w:tabs>
        <w:tab w:val="clear" w:pos="567"/>
      </w:tabs>
      <w:spacing w:before="120" w:after="0" w:line="240" w:lineRule="auto"/>
      <w:ind w:left="2127" w:hanging="709"/>
    </w:pPr>
    <w:rPr>
      <w:rFonts w:ascii="Times New Roman" w:hAnsi="Times New Roman"/>
    </w:rPr>
  </w:style>
  <w:style w:type="paragraph" w:styleId="TOCHeading">
    <w:name w:val="TOC Heading"/>
    <w:basedOn w:val="Heading1"/>
    <w:next w:val="Normal"/>
    <w:uiPriority w:val="39"/>
    <w:unhideWhenUsed/>
    <w:qFormat/>
    <w:rsid w:val="00F66AD2"/>
    <w:pPr>
      <w:keepLines/>
      <w:spacing w:before="480" w:after="0" w:line="276" w:lineRule="auto"/>
      <w:outlineLvl w:val="9"/>
    </w:pPr>
    <w:rPr>
      <w:rFonts w:asciiTheme="majorHAnsi" w:eastAsiaTheme="majorEastAsia" w:hAnsiTheme="majorHAnsi" w:cstheme="majorBidi"/>
      <w:b/>
      <w:bCs/>
      <w:noProof w:val="0"/>
      <w:color w:val="365F91" w:themeColor="accent1" w:themeShade="BF"/>
      <w:kern w:val="0"/>
      <w:szCs w:val="28"/>
      <w:lang w:eastAsia="ja-JP"/>
    </w:rPr>
  </w:style>
  <w:style w:type="paragraph" w:styleId="TOC1">
    <w:name w:val="toc 1"/>
    <w:basedOn w:val="Normal"/>
    <w:next w:val="Normal"/>
    <w:autoRedefine/>
    <w:uiPriority w:val="39"/>
    <w:rsid w:val="00F66AD2"/>
    <w:pPr>
      <w:tabs>
        <w:tab w:val="clear" w:pos="567"/>
      </w:tabs>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6FFA"/>
    <w:pPr>
      <w:tabs>
        <w:tab w:val="left" w:pos="567"/>
      </w:tabs>
      <w:spacing w:after="140" w:line="280" w:lineRule="atLeast"/>
      <w:jc w:val="both"/>
    </w:pPr>
    <w:rPr>
      <w:rFonts w:asciiTheme="majorHAnsi" w:hAnsiTheme="majorHAnsi" w:cstheme="majorHAnsi"/>
      <w:sz w:val="22"/>
      <w:szCs w:val="22"/>
    </w:rPr>
  </w:style>
  <w:style w:type="paragraph" w:styleId="Heading1">
    <w:name w:val="heading 1"/>
    <w:next w:val="BodyText"/>
    <w:link w:val="Heading1Char"/>
    <w:qFormat/>
    <w:rsid w:val="00546370"/>
    <w:pPr>
      <w:keepNext/>
      <w:spacing w:before="140" w:after="140" w:line="280" w:lineRule="atLeast"/>
      <w:outlineLvl w:val="0"/>
    </w:pPr>
    <w:rPr>
      <w:rFonts w:ascii="Arial" w:hAnsi="Arial"/>
      <w:noProof/>
      <w:kern w:val="32"/>
      <w:sz w:val="28"/>
      <w:lang w:val="en-US"/>
    </w:rPr>
  </w:style>
  <w:style w:type="paragraph" w:styleId="Heading2">
    <w:name w:val="heading 2"/>
    <w:next w:val="BodyText"/>
    <w:link w:val="Heading2Char"/>
    <w:qFormat/>
    <w:rsid w:val="00866FFA"/>
    <w:pPr>
      <w:keepNext/>
      <w:spacing w:before="280" w:after="140" w:line="280" w:lineRule="atLeast"/>
      <w:outlineLvl w:val="1"/>
    </w:pPr>
    <w:rPr>
      <w:rFonts w:asciiTheme="majorHAnsi" w:hAnsiTheme="majorHAnsi" w:cstheme="majorHAnsi"/>
      <w:noProof/>
      <w:sz w:val="28"/>
      <w:szCs w:val="28"/>
      <w:lang w:val="en-US"/>
    </w:rPr>
  </w:style>
  <w:style w:type="paragraph" w:styleId="Heading3">
    <w:name w:val="heading 3"/>
    <w:next w:val="BodyText"/>
    <w:link w:val="Heading3Char"/>
    <w:qFormat/>
    <w:rsid w:val="00546370"/>
    <w:pPr>
      <w:keepNext/>
      <w:spacing w:before="140" w:after="140" w:line="280" w:lineRule="atLeast"/>
      <w:outlineLvl w:val="2"/>
    </w:pPr>
    <w:rPr>
      <w:rFonts w:ascii="Arial" w:hAnsi="Arial"/>
      <w:b/>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42CE4"/>
    <w:pPr>
      <w:tabs>
        <w:tab w:val="left" w:pos="357"/>
        <w:tab w:val="center" w:pos="4320"/>
        <w:tab w:val="right" w:pos="8640"/>
      </w:tabs>
    </w:pPr>
    <w:rPr>
      <w:sz w:val="18"/>
    </w:rPr>
  </w:style>
  <w:style w:type="paragraph" w:styleId="Footer">
    <w:name w:val="footer"/>
    <w:basedOn w:val="Normal"/>
    <w:rsid w:val="00F42CE4"/>
    <w:rPr>
      <w:sz w:val="18"/>
    </w:rPr>
  </w:style>
  <w:style w:type="character" w:styleId="PageNumber">
    <w:name w:val="page number"/>
    <w:rsid w:val="00BC7E24"/>
    <w:rPr>
      <w:rFonts w:ascii="Arial" w:hAnsi="Arial"/>
      <w:sz w:val="18"/>
    </w:rPr>
  </w:style>
  <w:style w:type="paragraph" w:styleId="TOC2">
    <w:name w:val="toc 2"/>
    <w:next w:val="Normal"/>
    <w:autoRedefine/>
    <w:uiPriority w:val="39"/>
    <w:rsid w:val="00AB6FB6"/>
    <w:pPr>
      <w:tabs>
        <w:tab w:val="left" w:pos="1134"/>
        <w:tab w:val="left" w:pos="2268"/>
        <w:tab w:val="left" w:pos="2552"/>
        <w:tab w:val="left" w:pos="3119"/>
        <w:tab w:val="right" w:leader="dot" w:pos="8448"/>
      </w:tabs>
      <w:spacing w:before="60" w:after="60"/>
      <w:ind w:left="3119" w:right="1134" w:hanging="3119"/>
    </w:pPr>
    <w:rPr>
      <w:rFonts w:ascii="Arial" w:hAnsi="Arial"/>
      <w:noProof/>
      <w:lang w:eastAsia="en-GB"/>
    </w:rPr>
  </w:style>
  <w:style w:type="paragraph" w:styleId="TOC3">
    <w:name w:val="toc 3"/>
    <w:basedOn w:val="BodyText"/>
    <w:next w:val="Normal"/>
    <w:autoRedefine/>
    <w:semiHidden/>
    <w:pPr>
      <w:tabs>
        <w:tab w:val="left" w:pos="851"/>
        <w:tab w:val="left" w:pos="1134"/>
        <w:tab w:val="left" w:pos="2268"/>
        <w:tab w:val="right" w:leader="dot" w:pos="8448"/>
      </w:tabs>
      <w:spacing w:after="0"/>
      <w:ind w:left="2268" w:right="1134"/>
    </w:pPr>
    <w:rPr>
      <w:noProof/>
    </w:rPr>
  </w:style>
  <w:style w:type="paragraph" w:styleId="BodyText">
    <w:name w:val="Body Text"/>
    <w:basedOn w:val="Normal"/>
    <w:link w:val="BodyTextChar"/>
    <w:rsid w:val="00546370"/>
  </w:style>
  <w:style w:type="paragraph" w:styleId="TOC4">
    <w:name w:val="toc 4"/>
    <w:basedOn w:val="Normal"/>
    <w:next w:val="Normal"/>
    <w:autoRedefine/>
    <w:semiHidden/>
    <w:pPr>
      <w:tabs>
        <w:tab w:val="right" w:leader="dot" w:pos="8448"/>
        <w:tab w:val="right" w:pos="8505"/>
      </w:tabs>
      <w:ind w:left="2835" w:right="1134"/>
    </w:pPr>
  </w:style>
  <w:style w:type="paragraph" w:customStyle="1" w:styleId="Address">
    <w:name w:val="Address"/>
    <w:pPr>
      <w:spacing w:line="180" w:lineRule="atLeast"/>
    </w:pPr>
    <w:rPr>
      <w:rFonts w:ascii="Arial" w:hAnsi="Arial"/>
      <w:noProof/>
      <w:color w:val="16288E"/>
      <w:sz w:val="16"/>
      <w:lang w:val="en-US"/>
    </w:rPr>
  </w:style>
  <w:style w:type="paragraph" w:styleId="EndnoteText">
    <w:name w:val="endnote text"/>
    <w:basedOn w:val="Normal"/>
    <w:semiHidden/>
    <w:pPr>
      <w:tabs>
        <w:tab w:val="left" w:pos="357"/>
      </w:tabs>
    </w:pPr>
  </w:style>
  <w:style w:type="paragraph" w:styleId="EnvelopeAddress">
    <w:name w:val="envelope address"/>
    <w:basedOn w:val="Normal"/>
    <w:pPr>
      <w:framePr w:w="7920" w:h="1980" w:hRule="exact" w:hSpace="180" w:wrap="auto" w:hAnchor="page" w:xAlign="center" w:yAlign="bottom"/>
      <w:tabs>
        <w:tab w:val="left" w:pos="357"/>
      </w:tabs>
      <w:ind w:left="2880"/>
    </w:pPr>
  </w:style>
  <w:style w:type="character" w:styleId="FollowedHyperlink">
    <w:name w:val="FollowedHyperlink"/>
    <w:rPr>
      <w:color w:val="808080"/>
      <w:u w:val="none"/>
    </w:rPr>
  </w:style>
  <w:style w:type="paragraph" w:styleId="FootnoteText">
    <w:name w:val="footnote text"/>
    <w:link w:val="FootnoteTextChar"/>
    <w:semiHidden/>
    <w:pPr>
      <w:spacing w:after="100" w:line="200" w:lineRule="atLeast"/>
    </w:pPr>
    <w:rPr>
      <w:rFonts w:ascii="Arial" w:hAnsi="Arial"/>
      <w:noProof/>
      <w:sz w:val="16"/>
      <w:lang w:val="en-US"/>
    </w:rPr>
  </w:style>
  <w:style w:type="character" w:styleId="Hyperlink">
    <w:name w:val="Hyperlink"/>
    <w:uiPriority w:val="99"/>
    <w:rsid w:val="00546370"/>
    <w:rPr>
      <w:rFonts w:ascii="Arial" w:hAnsi="Arial"/>
      <w:color w:val="16288E"/>
      <w:u w:val="none"/>
    </w:rPr>
  </w:style>
  <w:style w:type="paragraph" w:customStyle="1" w:styleId="Introduction">
    <w:name w:val="Introduction"/>
    <w:basedOn w:val="BodyText"/>
    <w:next w:val="BodyText"/>
    <w:rsid w:val="00546370"/>
    <w:pPr>
      <w:spacing w:before="140"/>
    </w:pPr>
    <w:rPr>
      <w:b/>
    </w:rPr>
  </w:style>
  <w:style w:type="paragraph" w:styleId="ListBullet">
    <w:name w:val="List Bullet"/>
    <w:basedOn w:val="Normal"/>
    <w:rsid w:val="00546370"/>
    <w:pPr>
      <w:numPr>
        <w:numId w:val="2"/>
      </w:numPr>
    </w:pPr>
  </w:style>
  <w:style w:type="paragraph" w:styleId="ListNumber">
    <w:name w:val="List Number"/>
    <w:basedOn w:val="Normal"/>
    <w:rsid w:val="00546370"/>
    <w:pPr>
      <w:numPr>
        <w:numId w:val="4"/>
      </w:numPr>
    </w:pPr>
  </w:style>
  <w:style w:type="paragraph" w:styleId="Title">
    <w:name w:val="Title"/>
    <w:link w:val="TitleChar"/>
    <w:qFormat/>
    <w:rsid w:val="00EE7DC4"/>
    <w:pPr>
      <w:spacing w:before="560" w:after="280" w:line="280" w:lineRule="atLeast"/>
      <w:outlineLvl w:val="0"/>
    </w:pPr>
    <w:rPr>
      <w:rFonts w:ascii="Arial" w:hAnsi="Arial"/>
      <w:noProof/>
      <w:kern w:val="28"/>
      <w:sz w:val="40"/>
      <w:lang w:val="en-US"/>
    </w:rPr>
  </w:style>
  <w:style w:type="character" w:customStyle="1" w:styleId="Heading1Char">
    <w:name w:val="Heading 1 Char"/>
    <w:link w:val="Heading1"/>
    <w:rsid w:val="00EE7DC4"/>
    <w:rPr>
      <w:rFonts w:ascii="Arial" w:hAnsi="Arial"/>
      <w:noProof/>
      <w:kern w:val="32"/>
      <w:sz w:val="28"/>
      <w:lang w:val="en-US" w:eastAsia="en-US" w:bidi="ar-SA"/>
    </w:rPr>
  </w:style>
  <w:style w:type="character" w:customStyle="1" w:styleId="Heading2Char">
    <w:name w:val="Heading 2 Char"/>
    <w:link w:val="Heading2"/>
    <w:rsid w:val="00866FFA"/>
    <w:rPr>
      <w:rFonts w:asciiTheme="majorHAnsi" w:hAnsiTheme="majorHAnsi" w:cstheme="majorHAnsi"/>
      <w:noProof/>
      <w:sz w:val="28"/>
      <w:szCs w:val="28"/>
      <w:lang w:val="en-US"/>
    </w:rPr>
  </w:style>
  <w:style w:type="character" w:customStyle="1" w:styleId="Heading3Char">
    <w:name w:val="Heading 3 Char"/>
    <w:link w:val="Heading3"/>
    <w:rsid w:val="00EE7DC4"/>
    <w:rPr>
      <w:rFonts w:ascii="Arial" w:hAnsi="Arial"/>
      <w:b/>
      <w:noProof/>
      <w:lang w:val="en-US" w:eastAsia="en-US" w:bidi="ar-SA"/>
    </w:rPr>
  </w:style>
  <w:style w:type="character" w:customStyle="1" w:styleId="TitleChar">
    <w:name w:val="Title Char"/>
    <w:link w:val="Title"/>
    <w:rsid w:val="00EE7DC4"/>
    <w:rPr>
      <w:rFonts w:ascii="Arial" w:hAnsi="Arial"/>
      <w:noProof/>
      <w:kern w:val="28"/>
      <w:sz w:val="40"/>
      <w:lang w:val="en-US" w:eastAsia="en-US" w:bidi="ar-SA"/>
    </w:rPr>
  </w:style>
  <w:style w:type="paragraph" w:customStyle="1" w:styleId="ZchnZchn1CharCharCarCar">
    <w:name w:val="Zchn Zchn1 Char Char Car Car"/>
    <w:basedOn w:val="Normal"/>
    <w:rsid w:val="00D02098"/>
    <w:pPr>
      <w:spacing w:after="160" w:line="240" w:lineRule="exact"/>
      <w:jc w:val="left"/>
    </w:pPr>
    <w:rPr>
      <w:rFonts w:ascii="Tahoma" w:hAnsi="Tahoma"/>
      <w:lang w:val="en-US"/>
    </w:rPr>
  </w:style>
  <w:style w:type="paragraph" w:customStyle="1" w:styleId="Docheader">
    <w:name w:val="Doc header"/>
    <w:basedOn w:val="Normal"/>
    <w:rsid w:val="00D02098"/>
    <w:pPr>
      <w:spacing w:after="0" w:line="280" w:lineRule="exact"/>
      <w:jc w:val="left"/>
    </w:pPr>
    <w:rPr>
      <w:sz w:val="24"/>
      <w:lang w:val="en-US"/>
    </w:rPr>
  </w:style>
  <w:style w:type="character" w:styleId="FootnoteReference">
    <w:name w:val="footnote reference"/>
    <w:semiHidden/>
    <w:rsid w:val="00D02098"/>
    <w:rPr>
      <w:vertAlign w:val="superscript"/>
    </w:rPr>
  </w:style>
  <w:style w:type="paragraph" w:styleId="BodyText3">
    <w:name w:val="Body Text 3"/>
    <w:basedOn w:val="Normal"/>
    <w:rsid w:val="00057A39"/>
    <w:pPr>
      <w:spacing w:after="120"/>
    </w:pPr>
    <w:rPr>
      <w:sz w:val="16"/>
      <w:szCs w:val="16"/>
    </w:rPr>
  </w:style>
  <w:style w:type="paragraph" w:customStyle="1" w:styleId="Indenta">
    <w:name w:val="Indent a"/>
    <w:basedOn w:val="Normal"/>
    <w:rsid w:val="00057A39"/>
    <w:pPr>
      <w:tabs>
        <w:tab w:val="left" w:pos="1134"/>
        <w:tab w:val="left" w:pos="1701"/>
        <w:tab w:val="left" w:pos="2268"/>
      </w:tabs>
      <w:spacing w:after="120" w:line="240" w:lineRule="auto"/>
      <w:ind w:left="1134" w:hanging="567"/>
      <w:jc w:val="left"/>
    </w:pPr>
    <w:rPr>
      <w:rFonts w:ascii="Times New Roman" w:hAnsi="Times New Roman"/>
      <w:lang w:eastAsia="en-GB"/>
    </w:rPr>
  </w:style>
  <w:style w:type="paragraph" w:customStyle="1" w:styleId="Tegn1CharChar">
    <w:name w:val="Tegn1 Char Char"/>
    <w:basedOn w:val="Normal"/>
    <w:rsid w:val="00057A39"/>
    <w:pPr>
      <w:tabs>
        <w:tab w:val="clear" w:pos="567"/>
      </w:tabs>
      <w:spacing w:after="160" w:line="240" w:lineRule="exact"/>
      <w:jc w:val="left"/>
    </w:pPr>
    <w:rPr>
      <w:rFonts w:ascii="Tahoma" w:hAnsi="Tahoma"/>
      <w:lang w:val="en-US"/>
    </w:rPr>
  </w:style>
  <w:style w:type="paragraph" w:styleId="BalloonText">
    <w:name w:val="Balloon Text"/>
    <w:basedOn w:val="Normal"/>
    <w:semiHidden/>
    <w:rsid w:val="001D1293"/>
    <w:rPr>
      <w:rFonts w:ascii="Tahoma" w:hAnsi="Tahoma" w:cs="Tahoma"/>
      <w:sz w:val="16"/>
      <w:szCs w:val="16"/>
    </w:rPr>
  </w:style>
  <w:style w:type="character" w:styleId="CommentReference">
    <w:name w:val="annotation reference"/>
    <w:rsid w:val="00B12A3B"/>
    <w:rPr>
      <w:sz w:val="16"/>
      <w:szCs w:val="16"/>
    </w:rPr>
  </w:style>
  <w:style w:type="paragraph" w:styleId="CommentText">
    <w:name w:val="annotation text"/>
    <w:basedOn w:val="Normal"/>
    <w:link w:val="CommentTextChar"/>
    <w:rsid w:val="00B12A3B"/>
  </w:style>
  <w:style w:type="character" w:customStyle="1" w:styleId="CommentTextChar">
    <w:name w:val="Comment Text Char"/>
    <w:link w:val="CommentText"/>
    <w:rsid w:val="00B12A3B"/>
    <w:rPr>
      <w:rFonts w:ascii="Arial" w:hAnsi="Arial"/>
      <w:lang w:eastAsia="en-US"/>
    </w:rPr>
  </w:style>
  <w:style w:type="paragraph" w:styleId="CommentSubject">
    <w:name w:val="annotation subject"/>
    <w:basedOn w:val="CommentText"/>
    <w:next w:val="CommentText"/>
    <w:link w:val="CommentSubjectChar"/>
    <w:rsid w:val="00B12A3B"/>
    <w:rPr>
      <w:b/>
      <w:bCs/>
    </w:rPr>
  </w:style>
  <w:style w:type="character" w:customStyle="1" w:styleId="CommentSubjectChar">
    <w:name w:val="Comment Subject Char"/>
    <w:link w:val="CommentSubject"/>
    <w:rsid w:val="00B12A3B"/>
    <w:rPr>
      <w:rFonts w:ascii="Arial" w:hAnsi="Arial"/>
      <w:b/>
      <w:bCs/>
      <w:lang w:eastAsia="en-US"/>
    </w:rPr>
  </w:style>
  <w:style w:type="character" w:customStyle="1" w:styleId="BodyTextChar">
    <w:name w:val="Body Text Char"/>
    <w:link w:val="BodyText"/>
    <w:rsid w:val="001E70BE"/>
    <w:rPr>
      <w:rFonts w:ascii="Arial" w:hAnsi="Arial"/>
      <w:lang w:eastAsia="en-US"/>
    </w:rPr>
  </w:style>
  <w:style w:type="paragraph" w:customStyle="1" w:styleId="ColorfulShading-Accent11">
    <w:name w:val="Colorful Shading - Accent 11"/>
    <w:hidden/>
    <w:uiPriority w:val="99"/>
    <w:semiHidden/>
    <w:rsid w:val="00A0424C"/>
    <w:rPr>
      <w:rFonts w:ascii="Arial" w:hAnsi="Arial"/>
    </w:rPr>
  </w:style>
  <w:style w:type="character" w:customStyle="1" w:styleId="FootnoteTextChar">
    <w:name w:val="Footnote Text Char"/>
    <w:link w:val="FootnoteText"/>
    <w:semiHidden/>
    <w:rsid w:val="00D124A3"/>
    <w:rPr>
      <w:rFonts w:ascii="Arial" w:hAnsi="Arial"/>
      <w:noProof/>
      <w:sz w:val="16"/>
      <w:lang w:val="en-US" w:eastAsia="en-US"/>
    </w:rPr>
  </w:style>
  <w:style w:type="character" w:customStyle="1" w:styleId="TitleChar1">
    <w:name w:val="Title Char1"/>
    <w:rsid w:val="009D4756"/>
    <w:rPr>
      <w:rFonts w:ascii="Arial" w:hAnsi="Arial"/>
      <w:noProof/>
      <w:kern w:val="28"/>
      <w:sz w:val="40"/>
      <w:lang w:val="en-US"/>
    </w:rPr>
  </w:style>
  <w:style w:type="paragraph" w:customStyle="1" w:styleId="Tegn1CharChar0">
    <w:name w:val="Tegn1 Char Char"/>
    <w:basedOn w:val="Normal"/>
    <w:rsid w:val="005A66DF"/>
    <w:pPr>
      <w:tabs>
        <w:tab w:val="clear" w:pos="567"/>
      </w:tabs>
      <w:spacing w:after="160" w:line="240" w:lineRule="exact"/>
      <w:jc w:val="left"/>
    </w:pPr>
    <w:rPr>
      <w:rFonts w:ascii="Tahoma" w:hAnsi="Tahoma"/>
      <w:lang w:val="en-US"/>
    </w:rPr>
  </w:style>
  <w:style w:type="paragraph" w:styleId="ListParagraph">
    <w:name w:val="List Paragraph"/>
    <w:basedOn w:val="Normal"/>
    <w:uiPriority w:val="72"/>
    <w:qFormat/>
    <w:rsid w:val="005A66DF"/>
    <w:pPr>
      <w:ind w:left="720"/>
      <w:contextualSpacing/>
    </w:pPr>
  </w:style>
  <w:style w:type="paragraph" w:styleId="BodyText2">
    <w:name w:val="Body Text 2"/>
    <w:basedOn w:val="Normal"/>
    <w:link w:val="BodyText2Char"/>
    <w:rsid w:val="00D512DA"/>
    <w:pPr>
      <w:spacing w:after="120" w:line="480" w:lineRule="auto"/>
    </w:pPr>
  </w:style>
  <w:style w:type="character" w:customStyle="1" w:styleId="BodyText2Char">
    <w:name w:val="Body Text 2 Char"/>
    <w:basedOn w:val="DefaultParagraphFont"/>
    <w:link w:val="BodyText2"/>
    <w:rsid w:val="00D512DA"/>
    <w:rPr>
      <w:rFonts w:ascii="Arial" w:hAnsi="Arial"/>
    </w:rPr>
  </w:style>
  <w:style w:type="paragraph" w:customStyle="1" w:styleId="Default">
    <w:name w:val="Default"/>
    <w:rsid w:val="009813B3"/>
    <w:pPr>
      <w:widowControl w:val="0"/>
      <w:autoSpaceDE w:val="0"/>
      <w:autoSpaceDN w:val="0"/>
      <w:adjustRightInd w:val="0"/>
    </w:pPr>
    <w:rPr>
      <w:rFonts w:ascii="Calibri" w:hAnsi="Calibri" w:cs="Calibri"/>
      <w:color w:val="000000"/>
      <w:sz w:val="24"/>
      <w:szCs w:val="24"/>
      <w:lang w:val="en-US"/>
    </w:rPr>
  </w:style>
  <w:style w:type="character" w:customStyle="1" w:styleId="apple-converted-space">
    <w:name w:val="apple-converted-space"/>
    <w:basedOn w:val="DefaultParagraphFont"/>
    <w:rsid w:val="00BA26C4"/>
  </w:style>
  <w:style w:type="paragraph" w:styleId="Revision">
    <w:name w:val="Revision"/>
    <w:hidden/>
    <w:uiPriority w:val="71"/>
    <w:rsid w:val="00E8352A"/>
    <w:rPr>
      <w:rFonts w:ascii="Arial" w:hAnsi="Arial"/>
    </w:rPr>
  </w:style>
  <w:style w:type="paragraph" w:customStyle="1" w:styleId="Indent1">
    <w:name w:val="Indent1"/>
    <w:basedOn w:val="Normal"/>
    <w:rsid w:val="0026625E"/>
    <w:pPr>
      <w:tabs>
        <w:tab w:val="clear" w:pos="567"/>
      </w:tabs>
      <w:spacing w:before="120" w:after="0" w:line="240" w:lineRule="auto"/>
      <w:ind w:left="1418" w:hanging="709"/>
    </w:pPr>
    <w:rPr>
      <w:rFonts w:ascii="Times New Roman" w:hAnsi="Times New Roman"/>
    </w:rPr>
  </w:style>
  <w:style w:type="paragraph" w:customStyle="1" w:styleId="Indent2">
    <w:name w:val="Indent2"/>
    <w:basedOn w:val="Normal"/>
    <w:rsid w:val="0026625E"/>
    <w:pPr>
      <w:tabs>
        <w:tab w:val="clear" w:pos="567"/>
      </w:tabs>
      <w:spacing w:before="120" w:after="0" w:line="240" w:lineRule="auto"/>
      <w:ind w:left="2127" w:hanging="709"/>
    </w:pPr>
    <w:rPr>
      <w:rFonts w:ascii="Times New Roman" w:hAnsi="Times New Roman"/>
    </w:rPr>
  </w:style>
  <w:style w:type="paragraph" w:styleId="TOCHeading">
    <w:name w:val="TOC Heading"/>
    <w:basedOn w:val="Heading1"/>
    <w:next w:val="Normal"/>
    <w:uiPriority w:val="39"/>
    <w:unhideWhenUsed/>
    <w:qFormat/>
    <w:rsid w:val="00F66AD2"/>
    <w:pPr>
      <w:keepLines/>
      <w:spacing w:before="480" w:after="0" w:line="276" w:lineRule="auto"/>
      <w:outlineLvl w:val="9"/>
    </w:pPr>
    <w:rPr>
      <w:rFonts w:asciiTheme="majorHAnsi" w:eastAsiaTheme="majorEastAsia" w:hAnsiTheme="majorHAnsi" w:cstheme="majorBidi"/>
      <w:b/>
      <w:bCs/>
      <w:noProof w:val="0"/>
      <w:color w:val="365F91" w:themeColor="accent1" w:themeShade="BF"/>
      <w:kern w:val="0"/>
      <w:szCs w:val="28"/>
      <w:lang w:eastAsia="ja-JP"/>
    </w:rPr>
  </w:style>
  <w:style w:type="paragraph" w:styleId="TOC1">
    <w:name w:val="toc 1"/>
    <w:basedOn w:val="Normal"/>
    <w:next w:val="Normal"/>
    <w:autoRedefine/>
    <w:uiPriority w:val="39"/>
    <w:rsid w:val="00F66AD2"/>
    <w:pPr>
      <w:tabs>
        <w:tab w:val="clear" w:pos="567"/>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3661">
      <w:bodyDiv w:val="1"/>
      <w:marLeft w:val="0"/>
      <w:marRight w:val="0"/>
      <w:marTop w:val="0"/>
      <w:marBottom w:val="0"/>
      <w:divBdr>
        <w:top w:val="none" w:sz="0" w:space="0" w:color="auto"/>
        <w:left w:val="none" w:sz="0" w:space="0" w:color="auto"/>
        <w:bottom w:val="none" w:sz="0" w:space="0" w:color="auto"/>
        <w:right w:val="none" w:sz="0" w:space="0" w:color="auto"/>
      </w:divBdr>
    </w:div>
    <w:div w:id="259874758">
      <w:bodyDiv w:val="1"/>
      <w:marLeft w:val="0"/>
      <w:marRight w:val="0"/>
      <w:marTop w:val="0"/>
      <w:marBottom w:val="0"/>
      <w:divBdr>
        <w:top w:val="none" w:sz="0" w:space="0" w:color="auto"/>
        <w:left w:val="none" w:sz="0" w:space="0" w:color="auto"/>
        <w:bottom w:val="none" w:sz="0" w:space="0" w:color="auto"/>
        <w:right w:val="none" w:sz="0" w:space="0" w:color="auto"/>
      </w:divBdr>
    </w:div>
    <w:div w:id="644431003">
      <w:bodyDiv w:val="1"/>
      <w:marLeft w:val="0"/>
      <w:marRight w:val="0"/>
      <w:marTop w:val="0"/>
      <w:marBottom w:val="0"/>
      <w:divBdr>
        <w:top w:val="none" w:sz="0" w:space="0" w:color="auto"/>
        <w:left w:val="none" w:sz="0" w:space="0" w:color="auto"/>
        <w:bottom w:val="none" w:sz="0" w:space="0" w:color="auto"/>
        <w:right w:val="none" w:sz="0" w:space="0" w:color="auto"/>
      </w:divBdr>
    </w:div>
    <w:div w:id="645016925">
      <w:bodyDiv w:val="1"/>
      <w:marLeft w:val="0"/>
      <w:marRight w:val="0"/>
      <w:marTop w:val="0"/>
      <w:marBottom w:val="0"/>
      <w:divBdr>
        <w:top w:val="none" w:sz="0" w:space="0" w:color="auto"/>
        <w:left w:val="none" w:sz="0" w:space="0" w:color="auto"/>
        <w:bottom w:val="none" w:sz="0" w:space="0" w:color="auto"/>
        <w:right w:val="none" w:sz="0" w:space="0" w:color="auto"/>
      </w:divBdr>
    </w:div>
    <w:div w:id="669648538">
      <w:bodyDiv w:val="1"/>
      <w:marLeft w:val="0"/>
      <w:marRight w:val="0"/>
      <w:marTop w:val="0"/>
      <w:marBottom w:val="0"/>
      <w:divBdr>
        <w:top w:val="none" w:sz="0" w:space="0" w:color="auto"/>
        <w:left w:val="none" w:sz="0" w:space="0" w:color="auto"/>
        <w:bottom w:val="none" w:sz="0" w:space="0" w:color="auto"/>
        <w:right w:val="none" w:sz="0" w:space="0" w:color="auto"/>
      </w:divBdr>
    </w:div>
    <w:div w:id="912354144">
      <w:bodyDiv w:val="1"/>
      <w:marLeft w:val="0"/>
      <w:marRight w:val="0"/>
      <w:marTop w:val="0"/>
      <w:marBottom w:val="0"/>
      <w:divBdr>
        <w:top w:val="none" w:sz="0" w:space="0" w:color="auto"/>
        <w:left w:val="none" w:sz="0" w:space="0" w:color="auto"/>
        <w:bottom w:val="none" w:sz="0" w:space="0" w:color="auto"/>
        <w:right w:val="none" w:sz="0" w:space="0" w:color="auto"/>
      </w:divBdr>
    </w:div>
    <w:div w:id="1580602551">
      <w:bodyDiv w:val="1"/>
      <w:marLeft w:val="0"/>
      <w:marRight w:val="0"/>
      <w:marTop w:val="0"/>
      <w:marBottom w:val="0"/>
      <w:divBdr>
        <w:top w:val="none" w:sz="0" w:space="0" w:color="auto"/>
        <w:left w:val="none" w:sz="0" w:space="0" w:color="auto"/>
        <w:bottom w:val="none" w:sz="0" w:space="0" w:color="auto"/>
        <w:right w:val="none" w:sz="0" w:space="0" w:color="auto"/>
      </w:divBdr>
      <w:divsChild>
        <w:div w:id="1322152193">
          <w:marLeft w:val="0"/>
          <w:marRight w:val="0"/>
          <w:marTop w:val="0"/>
          <w:marBottom w:val="0"/>
          <w:divBdr>
            <w:top w:val="none" w:sz="0" w:space="0" w:color="auto"/>
            <w:left w:val="none" w:sz="0" w:space="0" w:color="auto"/>
            <w:bottom w:val="none" w:sz="0" w:space="0" w:color="auto"/>
            <w:right w:val="none" w:sz="0" w:space="0" w:color="auto"/>
          </w:divBdr>
        </w:div>
        <w:div w:id="1328705845">
          <w:marLeft w:val="0"/>
          <w:marRight w:val="0"/>
          <w:marTop w:val="0"/>
          <w:marBottom w:val="0"/>
          <w:divBdr>
            <w:top w:val="none" w:sz="0" w:space="0" w:color="auto"/>
            <w:left w:val="none" w:sz="0" w:space="0" w:color="auto"/>
            <w:bottom w:val="none" w:sz="0" w:space="0" w:color="auto"/>
            <w:right w:val="none" w:sz="0" w:space="0" w:color="auto"/>
          </w:divBdr>
        </w:div>
        <w:div w:id="585267648">
          <w:marLeft w:val="0"/>
          <w:marRight w:val="0"/>
          <w:marTop w:val="0"/>
          <w:marBottom w:val="0"/>
          <w:divBdr>
            <w:top w:val="none" w:sz="0" w:space="0" w:color="auto"/>
            <w:left w:val="none" w:sz="0" w:space="0" w:color="auto"/>
            <w:bottom w:val="none" w:sz="0" w:space="0" w:color="auto"/>
            <w:right w:val="none" w:sz="0" w:space="0" w:color="auto"/>
          </w:divBdr>
        </w:div>
        <w:div w:id="1672022299">
          <w:marLeft w:val="0"/>
          <w:marRight w:val="0"/>
          <w:marTop w:val="0"/>
          <w:marBottom w:val="0"/>
          <w:divBdr>
            <w:top w:val="none" w:sz="0" w:space="0" w:color="auto"/>
            <w:left w:val="none" w:sz="0" w:space="0" w:color="auto"/>
            <w:bottom w:val="none" w:sz="0" w:space="0" w:color="auto"/>
            <w:right w:val="none" w:sz="0" w:space="0" w:color="auto"/>
          </w:divBdr>
        </w:div>
        <w:div w:id="1360816242">
          <w:marLeft w:val="0"/>
          <w:marRight w:val="0"/>
          <w:marTop w:val="0"/>
          <w:marBottom w:val="0"/>
          <w:divBdr>
            <w:top w:val="none" w:sz="0" w:space="0" w:color="auto"/>
            <w:left w:val="none" w:sz="0" w:space="0" w:color="auto"/>
            <w:bottom w:val="none" w:sz="0" w:space="0" w:color="auto"/>
            <w:right w:val="none" w:sz="0" w:space="0" w:color="auto"/>
          </w:divBdr>
        </w:div>
        <w:div w:id="371804770">
          <w:marLeft w:val="0"/>
          <w:marRight w:val="0"/>
          <w:marTop w:val="0"/>
          <w:marBottom w:val="0"/>
          <w:divBdr>
            <w:top w:val="none" w:sz="0" w:space="0" w:color="auto"/>
            <w:left w:val="none" w:sz="0" w:space="0" w:color="auto"/>
            <w:bottom w:val="none" w:sz="0" w:space="0" w:color="auto"/>
            <w:right w:val="none" w:sz="0" w:space="0" w:color="auto"/>
          </w:divBdr>
        </w:div>
        <w:div w:id="1014186696">
          <w:marLeft w:val="0"/>
          <w:marRight w:val="0"/>
          <w:marTop w:val="0"/>
          <w:marBottom w:val="0"/>
          <w:divBdr>
            <w:top w:val="none" w:sz="0" w:space="0" w:color="auto"/>
            <w:left w:val="none" w:sz="0" w:space="0" w:color="auto"/>
            <w:bottom w:val="none" w:sz="0" w:space="0" w:color="auto"/>
            <w:right w:val="none" w:sz="0" w:space="0" w:color="auto"/>
          </w:divBdr>
        </w:div>
        <w:div w:id="471407652">
          <w:marLeft w:val="0"/>
          <w:marRight w:val="0"/>
          <w:marTop w:val="0"/>
          <w:marBottom w:val="0"/>
          <w:divBdr>
            <w:top w:val="none" w:sz="0" w:space="0" w:color="auto"/>
            <w:left w:val="none" w:sz="0" w:space="0" w:color="auto"/>
            <w:bottom w:val="none" w:sz="0" w:space="0" w:color="auto"/>
            <w:right w:val="none" w:sz="0" w:space="0" w:color="auto"/>
          </w:divBdr>
        </w:div>
        <w:div w:id="695927023">
          <w:marLeft w:val="0"/>
          <w:marRight w:val="0"/>
          <w:marTop w:val="0"/>
          <w:marBottom w:val="0"/>
          <w:divBdr>
            <w:top w:val="none" w:sz="0" w:space="0" w:color="auto"/>
            <w:left w:val="none" w:sz="0" w:space="0" w:color="auto"/>
            <w:bottom w:val="none" w:sz="0" w:space="0" w:color="auto"/>
            <w:right w:val="none" w:sz="0" w:space="0" w:color="auto"/>
          </w:divBdr>
        </w:div>
      </w:divsChild>
    </w:div>
    <w:div w:id="1855613475">
      <w:bodyDiv w:val="1"/>
      <w:marLeft w:val="0"/>
      <w:marRight w:val="0"/>
      <w:marTop w:val="0"/>
      <w:marBottom w:val="0"/>
      <w:divBdr>
        <w:top w:val="none" w:sz="0" w:space="0" w:color="auto"/>
        <w:left w:val="none" w:sz="0" w:space="0" w:color="auto"/>
        <w:bottom w:val="none" w:sz="0" w:space="0" w:color="auto"/>
        <w:right w:val="none" w:sz="0" w:space="0" w:color="auto"/>
      </w:divBdr>
    </w:div>
    <w:div w:id="2009936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4A1D9-F33E-4D35-A4D4-79668109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12</Pages>
  <Words>5698</Words>
  <Characters>32481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OSPAR_MEETING_DOCUMENT</vt:lpstr>
    </vt:vector>
  </TitlesOfParts>
  <Company>.</Company>
  <LinksUpToDate>false</LinksUpToDate>
  <CharactersWithSpaces>38103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OSPAR_MEETING_DOCUMENT</dc:title>
  <dc:creator>unknown</dc:creator>
  <cp:lastModifiedBy>Olle Akesson</cp:lastModifiedBy>
  <cp:revision>20</cp:revision>
  <cp:lastPrinted>2018-11-08T10:03:00Z</cp:lastPrinted>
  <dcterms:created xsi:type="dcterms:W3CDTF">2018-10-24T18:56:00Z</dcterms:created>
  <dcterms:modified xsi:type="dcterms:W3CDTF">2018-11-09T13:38:00Z</dcterms:modified>
</cp:coreProperties>
</file>