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C8899" w14:textId="19049BAB" w:rsidR="0096036D" w:rsidRPr="00F60F4C" w:rsidRDefault="0070364E" w:rsidP="0096036D">
      <w:pPr>
        <w:tabs>
          <w:tab w:val="clear" w:pos="567"/>
        </w:tabs>
        <w:spacing w:after="0"/>
        <w:ind w:right="72"/>
        <w:rPr>
          <w:rFonts w:asciiTheme="minorHAnsi" w:hAnsiTheme="minorHAnsi" w:cstheme="minorHAnsi"/>
          <w:sz w:val="40"/>
          <w:szCs w:val="40"/>
        </w:rPr>
      </w:pPr>
      <w:bookmarkStart w:id="0" w:name="_Hlk58229332"/>
      <w:r>
        <w:rPr>
          <w:rFonts w:asciiTheme="minorHAnsi" w:hAnsiTheme="minorHAnsi" w:cstheme="minorHAnsi"/>
          <w:sz w:val="40"/>
          <w:szCs w:val="40"/>
        </w:rPr>
        <w:t xml:space="preserve">Minutes of </w:t>
      </w:r>
      <w:bookmarkStart w:id="1" w:name="_Hlk103099004"/>
      <w:r>
        <w:rPr>
          <w:rFonts w:asciiTheme="minorHAnsi" w:hAnsiTheme="minorHAnsi" w:cstheme="minorHAnsi"/>
          <w:sz w:val="40"/>
          <w:szCs w:val="40"/>
        </w:rPr>
        <w:t xml:space="preserve">the first meeting of the </w:t>
      </w:r>
      <w:bookmarkStart w:id="2" w:name="_Hlk103098939"/>
      <w:r w:rsidR="000315EE">
        <w:rPr>
          <w:rFonts w:asciiTheme="minorHAnsi" w:hAnsiTheme="minorHAnsi" w:cstheme="minorHAnsi"/>
          <w:sz w:val="40"/>
          <w:szCs w:val="40"/>
        </w:rPr>
        <w:t xml:space="preserve">MAVI </w:t>
      </w:r>
      <w:r>
        <w:rPr>
          <w:rFonts w:asciiTheme="minorHAnsi" w:hAnsiTheme="minorHAnsi" w:cstheme="minorHAnsi"/>
          <w:sz w:val="40"/>
          <w:szCs w:val="40"/>
        </w:rPr>
        <w:t xml:space="preserve">Technical </w:t>
      </w:r>
      <w:r w:rsidR="00C328D1">
        <w:rPr>
          <w:rFonts w:asciiTheme="minorHAnsi" w:hAnsiTheme="minorHAnsi" w:cstheme="minorHAnsi"/>
          <w:sz w:val="40"/>
          <w:szCs w:val="40"/>
        </w:rPr>
        <w:t xml:space="preserve">Working Group </w:t>
      </w:r>
      <w:r w:rsidR="000315EE">
        <w:rPr>
          <w:rFonts w:asciiTheme="minorHAnsi" w:hAnsiTheme="minorHAnsi" w:cstheme="minorHAnsi"/>
          <w:sz w:val="40"/>
          <w:szCs w:val="40"/>
        </w:rPr>
        <w:t>(MAVI-TWG)</w:t>
      </w:r>
      <w:bookmarkEnd w:id="2"/>
      <w:r w:rsidR="000315EE">
        <w:rPr>
          <w:rFonts w:asciiTheme="minorHAnsi" w:hAnsiTheme="minorHAnsi" w:cstheme="minorHAnsi"/>
          <w:sz w:val="40"/>
          <w:szCs w:val="40"/>
        </w:rPr>
        <w:t xml:space="preserve"> </w:t>
      </w:r>
      <w:r w:rsidR="00252D46">
        <w:rPr>
          <w:rFonts w:asciiTheme="minorHAnsi" w:hAnsiTheme="minorHAnsi" w:cstheme="minorHAnsi"/>
          <w:sz w:val="40"/>
          <w:szCs w:val="40"/>
        </w:rPr>
        <w:t>held on</w:t>
      </w:r>
      <w:r>
        <w:rPr>
          <w:rFonts w:asciiTheme="minorHAnsi" w:hAnsiTheme="minorHAnsi" w:cstheme="minorHAnsi"/>
          <w:sz w:val="40"/>
          <w:szCs w:val="40"/>
        </w:rPr>
        <w:t xml:space="preserve"> 05/05/22</w:t>
      </w:r>
      <w:bookmarkEnd w:id="1"/>
    </w:p>
    <w:p w14:paraId="31274DFD" w14:textId="0FFF7C99" w:rsidR="003362D6" w:rsidRDefault="003362D6">
      <w:pPr>
        <w:tabs>
          <w:tab w:val="clear" w:pos="567"/>
          <w:tab w:val="clear" w:pos="1134"/>
          <w:tab w:val="clear" w:pos="1701"/>
          <w:tab w:val="clear" w:pos="2268"/>
        </w:tabs>
        <w:spacing w:after="0"/>
        <w:jc w:val="left"/>
        <w:rPr>
          <w:rFonts w:asciiTheme="minorHAnsi" w:hAnsiTheme="minorHAnsi" w:cstheme="minorHAnsi"/>
          <w:b/>
        </w:rPr>
      </w:pPr>
    </w:p>
    <w:p w14:paraId="3AC7DCBC" w14:textId="738C4636" w:rsidR="0070364E" w:rsidRDefault="0070364E" w:rsidP="0070364E">
      <w:pPr>
        <w:keepNext/>
        <w:spacing w:before="120"/>
        <w:rPr>
          <w:rFonts w:asciiTheme="minorHAnsi" w:hAnsiTheme="minorHAnsi" w:cstheme="minorHAnsi"/>
          <w:b/>
        </w:rPr>
      </w:pPr>
      <w:r>
        <w:rPr>
          <w:rFonts w:asciiTheme="minorHAnsi" w:hAnsiTheme="minorHAnsi" w:cstheme="minorHAnsi"/>
          <w:b/>
        </w:rPr>
        <w:t>Update of the CPs on recent monitoring efforts and future prospects</w:t>
      </w:r>
    </w:p>
    <w:p w14:paraId="561BABB3" w14:textId="7ABD1FC9" w:rsidR="00964ECE" w:rsidRDefault="0070364E" w:rsidP="00964ECE">
      <w:pPr>
        <w:pStyle w:val="ListParagraph"/>
        <w:numPr>
          <w:ilvl w:val="0"/>
          <w:numId w:val="17"/>
        </w:numPr>
        <w:spacing w:after="160" w:line="259" w:lineRule="auto"/>
        <w:ind w:left="0" w:firstLine="0"/>
        <w:jc w:val="both"/>
      </w:pPr>
      <w:r w:rsidRPr="0070364E">
        <w:rPr>
          <w:lang w:val="en-US"/>
        </w:rPr>
        <w:t xml:space="preserve">During </w:t>
      </w:r>
      <w:r>
        <w:rPr>
          <w:lang w:val="en-US"/>
        </w:rPr>
        <w:t xml:space="preserve">the tour the table, </w:t>
      </w:r>
      <w:r w:rsidR="00964ECE">
        <w:t>u</w:t>
      </w:r>
      <w:r w:rsidR="00964ECE" w:rsidRPr="00C61506">
        <w:t xml:space="preserve">pdates were given by Contracting Parties </w:t>
      </w:r>
      <w:r w:rsidR="00964ECE">
        <w:t>on the status of the enforcement monitoring operations on Regulation 14 (Sulphur) and Regulation 13 (NOx) covering 2021 monitoring data, long-term trends and future prospects.</w:t>
      </w:r>
    </w:p>
    <w:p w14:paraId="51AB67E1" w14:textId="77777777" w:rsidR="00196307" w:rsidRDefault="00196307" w:rsidP="00196307">
      <w:pPr>
        <w:pStyle w:val="ListParagraph"/>
        <w:numPr>
          <w:ilvl w:val="0"/>
          <w:numId w:val="17"/>
        </w:numPr>
        <w:spacing w:after="160" w:line="259" w:lineRule="auto"/>
        <w:ind w:left="0" w:firstLine="0"/>
        <w:jc w:val="both"/>
      </w:pPr>
      <w:r w:rsidRPr="00CF0805">
        <w:rPr>
          <w:b/>
          <w:bCs/>
        </w:rPr>
        <w:t xml:space="preserve">Belgium </w:t>
      </w:r>
      <w:r>
        <w:t xml:space="preserve">was using NOx sensors and black carbon sensors since 2020 and 2021 respectively. In 2021, a total of 57 flights were performed with 88 hours. More than 1,000 ships were monitored. The compliance rate for SOx was 95% following a decrease trend for non-compliance cases. The compliance rate for NOx was 97%. </w:t>
      </w:r>
    </w:p>
    <w:tbl>
      <w:tblPr>
        <w:tblStyle w:val="TableGrid"/>
        <w:tblW w:w="0" w:type="auto"/>
        <w:tblLook w:val="04A0" w:firstRow="1" w:lastRow="0" w:firstColumn="1" w:lastColumn="0" w:noHBand="0" w:noVBand="1"/>
      </w:tblPr>
      <w:tblGrid>
        <w:gridCol w:w="3209"/>
        <w:gridCol w:w="3210"/>
        <w:gridCol w:w="3210"/>
      </w:tblGrid>
      <w:tr w:rsidR="00016339" w14:paraId="4129C43F" w14:textId="6D6323EB" w:rsidTr="00016339">
        <w:tc>
          <w:tcPr>
            <w:tcW w:w="3209" w:type="dxa"/>
          </w:tcPr>
          <w:p w14:paraId="395B5702" w14:textId="3138A208" w:rsidR="00016339" w:rsidRPr="00DE5E8C" w:rsidRDefault="00DE5E8C" w:rsidP="00016339">
            <w:pPr>
              <w:tabs>
                <w:tab w:val="clear" w:pos="1134"/>
                <w:tab w:val="clear" w:pos="1701"/>
                <w:tab w:val="clear" w:pos="2268"/>
              </w:tabs>
              <w:spacing w:before="120" w:after="0" w:line="280" w:lineRule="atLeast"/>
              <w:rPr>
                <w:b/>
                <w:bCs/>
                <w:lang w:val="en-US"/>
              </w:rPr>
            </w:pPr>
            <w:r w:rsidRPr="00DE5E8C">
              <w:rPr>
                <w:b/>
                <w:bCs/>
                <w:lang w:val="en-US"/>
              </w:rPr>
              <w:t>BELGIUM</w:t>
            </w:r>
          </w:p>
        </w:tc>
        <w:tc>
          <w:tcPr>
            <w:tcW w:w="3210" w:type="dxa"/>
          </w:tcPr>
          <w:p w14:paraId="0025B1FC" w14:textId="5A748559" w:rsidR="00016339" w:rsidRDefault="00016339" w:rsidP="00016339">
            <w:pPr>
              <w:tabs>
                <w:tab w:val="clear" w:pos="1134"/>
                <w:tab w:val="clear" w:pos="1701"/>
                <w:tab w:val="clear" w:pos="2268"/>
              </w:tabs>
              <w:spacing w:before="120" w:after="0" w:line="280" w:lineRule="atLeast"/>
              <w:rPr>
                <w:lang w:val="en-US"/>
              </w:rPr>
            </w:pPr>
            <w:r>
              <w:rPr>
                <w:lang w:val="en-US"/>
              </w:rPr>
              <w:t>2021</w:t>
            </w:r>
          </w:p>
        </w:tc>
        <w:tc>
          <w:tcPr>
            <w:tcW w:w="3210" w:type="dxa"/>
          </w:tcPr>
          <w:p w14:paraId="0F65E762" w14:textId="25454F4D" w:rsidR="00016339" w:rsidRDefault="00016339" w:rsidP="00016339">
            <w:pPr>
              <w:tabs>
                <w:tab w:val="clear" w:pos="1134"/>
                <w:tab w:val="clear" w:pos="1701"/>
                <w:tab w:val="clear" w:pos="2268"/>
              </w:tabs>
              <w:spacing w:before="120" w:after="0" w:line="280" w:lineRule="atLeast"/>
              <w:rPr>
                <w:lang w:val="en-US"/>
              </w:rPr>
            </w:pPr>
            <w:r>
              <w:rPr>
                <w:lang w:val="en-US"/>
              </w:rPr>
              <w:t>From 2015</w:t>
            </w:r>
          </w:p>
        </w:tc>
      </w:tr>
      <w:tr w:rsidR="00016339" w14:paraId="2221977F" w14:textId="536A5B90" w:rsidTr="00016339">
        <w:tc>
          <w:tcPr>
            <w:tcW w:w="3209" w:type="dxa"/>
          </w:tcPr>
          <w:p w14:paraId="7A5A8B76" w14:textId="6462FF16" w:rsidR="00016339" w:rsidRDefault="00016339" w:rsidP="00016339">
            <w:pPr>
              <w:tabs>
                <w:tab w:val="clear" w:pos="1134"/>
                <w:tab w:val="clear" w:pos="1701"/>
                <w:tab w:val="clear" w:pos="2268"/>
              </w:tabs>
              <w:spacing w:before="120" w:after="0" w:line="280" w:lineRule="atLeast"/>
              <w:rPr>
                <w:lang w:val="en-US"/>
              </w:rPr>
            </w:pPr>
            <w:r>
              <w:rPr>
                <w:lang w:val="en-US"/>
              </w:rPr>
              <w:t>Number of flight hours</w:t>
            </w:r>
          </w:p>
        </w:tc>
        <w:tc>
          <w:tcPr>
            <w:tcW w:w="3210" w:type="dxa"/>
          </w:tcPr>
          <w:p w14:paraId="7EA52FA4" w14:textId="1BC5DFA8" w:rsidR="00016339" w:rsidRDefault="002B60FA" w:rsidP="00016339">
            <w:pPr>
              <w:tabs>
                <w:tab w:val="clear" w:pos="1134"/>
                <w:tab w:val="clear" w:pos="1701"/>
                <w:tab w:val="clear" w:pos="2268"/>
              </w:tabs>
              <w:spacing w:before="120" w:after="0" w:line="280" w:lineRule="atLeast"/>
              <w:rPr>
                <w:lang w:val="en-US"/>
              </w:rPr>
            </w:pPr>
            <w:r>
              <w:rPr>
                <w:lang w:val="en-US"/>
              </w:rPr>
              <w:t>57</w:t>
            </w:r>
          </w:p>
        </w:tc>
        <w:tc>
          <w:tcPr>
            <w:tcW w:w="3210" w:type="dxa"/>
          </w:tcPr>
          <w:p w14:paraId="32478FA9" w14:textId="3D86FF2F" w:rsidR="00016339" w:rsidRDefault="002B60FA" w:rsidP="00016339">
            <w:pPr>
              <w:tabs>
                <w:tab w:val="clear" w:pos="1134"/>
                <w:tab w:val="clear" w:pos="1701"/>
                <w:tab w:val="clear" w:pos="2268"/>
              </w:tabs>
              <w:spacing w:before="120" w:after="0" w:line="280" w:lineRule="atLeast"/>
              <w:rPr>
                <w:lang w:val="en-US"/>
              </w:rPr>
            </w:pPr>
            <w:r>
              <w:rPr>
                <w:lang w:val="en-US"/>
              </w:rPr>
              <w:t>353</w:t>
            </w:r>
          </w:p>
        </w:tc>
      </w:tr>
      <w:tr w:rsidR="00016339" w14:paraId="6F703E2E" w14:textId="7E5F12E5" w:rsidTr="00016339">
        <w:tc>
          <w:tcPr>
            <w:tcW w:w="3209" w:type="dxa"/>
          </w:tcPr>
          <w:p w14:paraId="7DBDB2C8" w14:textId="4209A98A" w:rsidR="00016339" w:rsidRDefault="00016339" w:rsidP="00016339">
            <w:pPr>
              <w:tabs>
                <w:tab w:val="clear" w:pos="1134"/>
                <w:tab w:val="clear" w:pos="1701"/>
                <w:tab w:val="clear" w:pos="2268"/>
              </w:tabs>
              <w:spacing w:before="120" w:after="0" w:line="280" w:lineRule="atLeast"/>
              <w:rPr>
                <w:lang w:val="en-US"/>
              </w:rPr>
            </w:pPr>
            <w:r>
              <w:rPr>
                <w:lang w:val="en-US"/>
              </w:rPr>
              <w:t>Number of flights</w:t>
            </w:r>
          </w:p>
        </w:tc>
        <w:tc>
          <w:tcPr>
            <w:tcW w:w="3210" w:type="dxa"/>
          </w:tcPr>
          <w:p w14:paraId="7180A614" w14:textId="1F99ECA6" w:rsidR="00016339" w:rsidRDefault="002B60FA" w:rsidP="00016339">
            <w:pPr>
              <w:tabs>
                <w:tab w:val="clear" w:pos="1134"/>
                <w:tab w:val="clear" w:pos="1701"/>
                <w:tab w:val="clear" w:pos="2268"/>
              </w:tabs>
              <w:spacing w:before="120" w:after="0" w:line="280" w:lineRule="atLeast"/>
              <w:rPr>
                <w:lang w:val="en-US"/>
              </w:rPr>
            </w:pPr>
            <w:r>
              <w:rPr>
                <w:lang w:val="en-US"/>
              </w:rPr>
              <w:t>88</w:t>
            </w:r>
          </w:p>
        </w:tc>
        <w:tc>
          <w:tcPr>
            <w:tcW w:w="3210" w:type="dxa"/>
          </w:tcPr>
          <w:p w14:paraId="2064C67E" w14:textId="3BBDF99F" w:rsidR="00016339" w:rsidRDefault="002B60FA" w:rsidP="00016339">
            <w:pPr>
              <w:tabs>
                <w:tab w:val="clear" w:pos="1134"/>
                <w:tab w:val="clear" w:pos="1701"/>
                <w:tab w:val="clear" w:pos="2268"/>
              </w:tabs>
              <w:spacing w:before="120" w:after="0" w:line="280" w:lineRule="atLeast"/>
              <w:rPr>
                <w:lang w:val="en-US"/>
              </w:rPr>
            </w:pPr>
            <w:r>
              <w:rPr>
                <w:lang w:val="en-US"/>
              </w:rPr>
              <w:t>550</w:t>
            </w:r>
          </w:p>
        </w:tc>
      </w:tr>
      <w:tr w:rsidR="00016339" w14:paraId="0745DF58" w14:textId="551F8772" w:rsidTr="00016339">
        <w:tc>
          <w:tcPr>
            <w:tcW w:w="3209" w:type="dxa"/>
          </w:tcPr>
          <w:p w14:paraId="400E60B9" w14:textId="7442E32F" w:rsidR="00016339" w:rsidRDefault="00016339" w:rsidP="00016339">
            <w:pPr>
              <w:tabs>
                <w:tab w:val="clear" w:pos="1134"/>
                <w:tab w:val="clear" w:pos="1701"/>
                <w:tab w:val="clear" w:pos="2268"/>
              </w:tabs>
              <w:spacing w:before="120" w:after="0" w:line="280" w:lineRule="atLeast"/>
              <w:rPr>
                <w:lang w:val="en-US"/>
              </w:rPr>
            </w:pPr>
            <w:r>
              <w:rPr>
                <w:lang w:val="en-US"/>
              </w:rPr>
              <w:t>Number of inspected ships (FSC)</w:t>
            </w:r>
          </w:p>
        </w:tc>
        <w:tc>
          <w:tcPr>
            <w:tcW w:w="3210" w:type="dxa"/>
          </w:tcPr>
          <w:p w14:paraId="02A17659" w14:textId="57B22305" w:rsidR="00016339" w:rsidRDefault="002B60FA" w:rsidP="00016339">
            <w:pPr>
              <w:tabs>
                <w:tab w:val="clear" w:pos="1134"/>
                <w:tab w:val="clear" w:pos="1701"/>
                <w:tab w:val="clear" w:pos="2268"/>
              </w:tabs>
              <w:spacing w:before="120" w:after="0" w:line="280" w:lineRule="atLeast"/>
              <w:rPr>
                <w:lang w:val="en-US"/>
              </w:rPr>
            </w:pPr>
            <w:r>
              <w:rPr>
                <w:lang w:val="en-US"/>
              </w:rPr>
              <w:t>1050</w:t>
            </w:r>
          </w:p>
        </w:tc>
        <w:tc>
          <w:tcPr>
            <w:tcW w:w="3210" w:type="dxa"/>
          </w:tcPr>
          <w:p w14:paraId="359BF8AE" w14:textId="6556923C" w:rsidR="00016339" w:rsidRDefault="002B60FA" w:rsidP="00016339">
            <w:pPr>
              <w:tabs>
                <w:tab w:val="clear" w:pos="1134"/>
                <w:tab w:val="clear" w:pos="1701"/>
                <w:tab w:val="clear" w:pos="2268"/>
              </w:tabs>
              <w:spacing w:before="120" w:after="0" w:line="280" w:lineRule="atLeast"/>
              <w:rPr>
                <w:lang w:val="en-US"/>
              </w:rPr>
            </w:pPr>
            <w:r>
              <w:rPr>
                <w:lang w:val="en-US"/>
              </w:rPr>
              <w:t>6550</w:t>
            </w:r>
          </w:p>
        </w:tc>
      </w:tr>
      <w:tr w:rsidR="00016339" w14:paraId="6A04300D" w14:textId="3BA00400" w:rsidTr="00016339">
        <w:tc>
          <w:tcPr>
            <w:tcW w:w="3209" w:type="dxa"/>
          </w:tcPr>
          <w:p w14:paraId="1E95F07D" w14:textId="090FD114" w:rsidR="00016339" w:rsidRDefault="00016339" w:rsidP="00016339">
            <w:pPr>
              <w:tabs>
                <w:tab w:val="clear" w:pos="1134"/>
                <w:tab w:val="clear" w:pos="1701"/>
                <w:tab w:val="clear" w:pos="2268"/>
              </w:tabs>
              <w:spacing w:before="120" w:after="0" w:line="280" w:lineRule="atLeast"/>
              <w:rPr>
                <w:lang w:val="en-US"/>
              </w:rPr>
            </w:pPr>
            <w:r>
              <w:rPr>
                <w:lang w:val="en-US"/>
              </w:rPr>
              <w:t>Average FSC</w:t>
            </w:r>
          </w:p>
        </w:tc>
        <w:tc>
          <w:tcPr>
            <w:tcW w:w="3210" w:type="dxa"/>
          </w:tcPr>
          <w:p w14:paraId="7937BABF" w14:textId="2B51032D" w:rsidR="00016339" w:rsidRDefault="002B60FA" w:rsidP="00016339">
            <w:pPr>
              <w:tabs>
                <w:tab w:val="clear" w:pos="1134"/>
                <w:tab w:val="clear" w:pos="1701"/>
                <w:tab w:val="clear" w:pos="2268"/>
              </w:tabs>
              <w:spacing w:before="120" w:after="0" w:line="280" w:lineRule="atLeast"/>
              <w:rPr>
                <w:lang w:val="en-US"/>
              </w:rPr>
            </w:pPr>
            <w:r>
              <w:rPr>
                <w:lang w:val="en-US"/>
              </w:rPr>
              <w:t>0.07</w:t>
            </w:r>
          </w:p>
        </w:tc>
        <w:tc>
          <w:tcPr>
            <w:tcW w:w="3210" w:type="dxa"/>
          </w:tcPr>
          <w:p w14:paraId="04C65736" w14:textId="24CC1EA3" w:rsidR="00016339" w:rsidRDefault="002B60FA" w:rsidP="00016339">
            <w:pPr>
              <w:tabs>
                <w:tab w:val="clear" w:pos="1134"/>
                <w:tab w:val="clear" w:pos="1701"/>
                <w:tab w:val="clear" w:pos="2268"/>
              </w:tabs>
              <w:spacing w:before="120" w:after="0" w:line="280" w:lineRule="atLeast"/>
              <w:rPr>
                <w:lang w:val="en-US"/>
              </w:rPr>
            </w:pPr>
            <w:r>
              <w:rPr>
                <w:lang w:val="en-US"/>
              </w:rPr>
              <w:t>0.09</w:t>
            </w:r>
          </w:p>
        </w:tc>
      </w:tr>
      <w:tr w:rsidR="00016339" w14:paraId="00664D15" w14:textId="77777777" w:rsidTr="00016339">
        <w:tc>
          <w:tcPr>
            <w:tcW w:w="3209" w:type="dxa"/>
          </w:tcPr>
          <w:p w14:paraId="4E85A60C" w14:textId="7D7D2D95" w:rsidR="00016339" w:rsidRDefault="00016339" w:rsidP="00016339">
            <w:pPr>
              <w:tabs>
                <w:tab w:val="clear" w:pos="1134"/>
                <w:tab w:val="clear" w:pos="1701"/>
                <w:tab w:val="clear" w:pos="2268"/>
              </w:tabs>
              <w:spacing w:before="120" w:after="0" w:line="280" w:lineRule="atLeast"/>
              <w:rPr>
                <w:lang w:val="en-US"/>
              </w:rPr>
            </w:pPr>
            <w:r>
              <w:rPr>
                <w:lang w:val="en-US"/>
              </w:rPr>
              <w:t>Compliance rate</w:t>
            </w:r>
          </w:p>
        </w:tc>
        <w:tc>
          <w:tcPr>
            <w:tcW w:w="3210" w:type="dxa"/>
          </w:tcPr>
          <w:p w14:paraId="78400C2C" w14:textId="6EBC6956" w:rsidR="00016339" w:rsidRDefault="002B60FA" w:rsidP="00016339">
            <w:pPr>
              <w:tabs>
                <w:tab w:val="clear" w:pos="1134"/>
                <w:tab w:val="clear" w:pos="1701"/>
                <w:tab w:val="clear" w:pos="2268"/>
              </w:tabs>
              <w:spacing w:before="120" w:after="0" w:line="280" w:lineRule="atLeast"/>
              <w:rPr>
                <w:lang w:val="en-US"/>
              </w:rPr>
            </w:pPr>
            <w:r>
              <w:rPr>
                <w:lang w:val="en-US"/>
              </w:rPr>
              <w:t>95%</w:t>
            </w:r>
          </w:p>
        </w:tc>
        <w:tc>
          <w:tcPr>
            <w:tcW w:w="3210" w:type="dxa"/>
          </w:tcPr>
          <w:p w14:paraId="4C1FF0D1" w14:textId="403F33A0" w:rsidR="00016339" w:rsidRDefault="002B60FA" w:rsidP="00016339">
            <w:pPr>
              <w:tabs>
                <w:tab w:val="clear" w:pos="1134"/>
                <w:tab w:val="clear" w:pos="1701"/>
                <w:tab w:val="clear" w:pos="2268"/>
              </w:tabs>
              <w:spacing w:before="120" w:after="0" w:line="280" w:lineRule="atLeast"/>
              <w:rPr>
                <w:lang w:val="en-US"/>
              </w:rPr>
            </w:pPr>
            <w:r>
              <w:rPr>
                <w:lang w:val="en-US"/>
              </w:rPr>
              <w:t>91%</w:t>
            </w:r>
          </w:p>
        </w:tc>
      </w:tr>
      <w:tr w:rsidR="00016339" w14:paraId="4C56F86E" w14:textId="77777777" w:rsidTr="00016339">
        <w:tc>
          <w:tcPr>
            <w:tcW w:w="3209" w:type="dxa"/>
          </w:tcPr>
          <w:p w14:paraId="6FA7D938" w14:textId="4FB8A144" w:rsidR="00016339" w:rsidRDefault="002B60FA" w:rsidP="00016339">
            <w:pPr>
              <w:tabs>
                <w:tab w:val="clear" w:pos="1134"/>
                <w:tab w:val="clear" w:pos="1701"/>
                <w:tab w:val="clear" w:pos="2268"/>
              </w:tabs>
              <w:spacing w:before="120" w:after="0" w:line="280" w:lineRule="atLeast"/>
              <w:rPr>
                <w:lang w:val="en-US"/>
              </w:rPr>
            </w:pPr>
            <w:r>
              <w:rPr>
                <w:lang w:val="en-US"/>
              </w:rPr>
              <w:t>Number of alerts (FSC)</w:t>
            </w:r>
          </w:p>
        </w:tc>
        <w:tc>
          <w:tcPr>
            <w:tcW w:w="3210" w:type="dxa"/>
          </w:tcPr>
          <w:p w14:paraId="15453B33" w14:textId="6636D57D" w:rsidR="00016339" w:rsidRDefault="002B60FA" w:rsidP="00016339">
            <w:pPr>
              <w:tabs>
                <w:tab w:val="clear" w:pos="1134"/>
                <w:tab w:val="clear" w:pos="1701"/>
                <w:tab w:val="clear" w:pos="2268"/>
              </w:tabs>
              <w:spacing w:before="120" w:after="0" w:line="280" w:lineRule="atLeast"/>
              <w:rPr>
                <w:lang w:val="en-US"/>
              </w:rPr>
            </w:pPr>
            <w:r>
              <w:rPr>
                <w:lang w:val="en-US"/>
              </w:rPr>
              <w:t>16</w:t>
            </w:r>
          </w:p>
        </w:tc>
        <w:tc>
          <w:tcPr>
            <w:tcW w:w="3210" w:type="dxa"/>
          </w:tcPr>
          <w:p w14:paraId="1BFCCD26" w14:textId="7EDEED24" w:rsidR="00016339" w:rsidRDefault="002B60FA" w:rsidP="00016339">
            <w:pPr>
              <w:tabs>
                <w:tab w:val="clear" w:pos="1134"/>
                <w:tab w:val="clear" w:pos="1701"/>
                <w:tab w:val="clear" w:pos="2268"/>
              </w:tabs>
              <w:spacing w:before="120" w:after="0" w:line="280" w:lineRule="atLeast"/>
              <w:rPr>
                <w:lang w:val="en-US"/>
              </w:rPr>
            </w:pPr>
            <w:r>
              <w:rPr>
                <w:lang w:val="en-US"/>
              </w:rPr>
              <w:t>380</w:t>
            </w:r>
          </w:p>
        </w:tc>
      </w:tr>
      <w:tr w:rsidR="002B60FA" w14:paraId="6F2D8569" w14:textId="77777777" w:rsidTr="00016339">
        <w:tc>
          <w:tcPr>
            <w:tcW w:w="3209" w:type="dxa"/>
          </w:tcPr>
          <w:p w14:paraId="7D276393" w14:textId="64D8683F" w:rsidR="002B60FA" w:rsidRDefault="002B60FA" w:rsidP="00016339">
            <w:pPr>
              <w:tabs>
                <w:tab w:val="clear" w:pos="1134"/>
                <w:tab w:val="clear" w:pos="1701"/>
                <w:tab w:val="clear" w:pos="2268"/>
              </w:tabs>
              <w:spacing w:before="120" w:after="0" w:line="280" w:lineRule="atLeast"/>
              <w:rPr>
                <w:lang w:val="en-US"/>
              </w:rPr>
            </w:pPr>
            <w:r>
              <w:rPr>
                <w:lang w:val="en-US"/>
              </w:rPr>
              <w:t xml:space="preserve">Fines/public </w:t>
            </w:r>
            <w:r w:rsidR="00DE5E8C">
              <w:rPr>
                <w:lang w:val="en-US"/>
              </w:rPr>
              <w:t>statements</w:t>
            </w:r>
            <w:r>
              <w:rPr>
                <w:lang w:val="en-US"/>
              </w:rPr>
              <w:t xml:space="preserve"> PSC</w:t>
            </w:r>
            <w:r w:rsidR="00DE5E8C">
              <w:rPr>
                <w:lang w:val="en-US"/>
              </w:rPr>
              <w:t xml:space="preserve"> from airborne alerts</w:t>
            </w:r>
          </w:p>
        </w:tc>
        <w:tc>
          <w:tcPr>
            <w:tcW w:w="3210" w:type="dxa"/>
          </w:tcPr>
          <w:p w14:paraId="6B23F948" w14:textId="3743DCBB" w:rsidR="002B60FA" w:rsidRDefault="002B60FA" w:rsidP="00016339">
            <w:pPr>
              <w:tabs>
                <w:tab w:val="clear" w:pos="1134"/>
                <w:tab w:val="clear" w:pos="1701"/>
                <w:tab w:val="clear" w:pos="2268"/>
              </w:tabs>
              <w:spacing w:before="120" w:after="0" w:line="280" w:lineRule="atLeast"/>
              <w:rPr>
                <w:lang w:val="en-US"/>
              </w:rPr>
            </w:pPr>
            <w:r>
              <w:rPr>
                <w:lang w:val="en-US"/>
              </w:rPr>
              <w:t>1</w:t>
            </w:r>
          </w:p>
        </w:tc>
        <w:tc>
          <w:tcPr>
            <w:tcW w:w="3210" w:type="dxa"/>
          </w:tcPr>
          <w:p w14:paraId="5E1F3B29" w14:textId="36C36C06" w:rsidR="002B60FA" w:rsidRDefault="002B60FA" w:rsidP="00016339">
            <w:pPr>
              <w:tabs>
                <w:tab w:val="clear" w:pos="1134"/>
                <w:tab w:val="clear" w:pos="1701"/>
                <w:tab w:val="clear" w:pos="2268"/>
              </w:tabs>
              <w:spacing w:before="120" w:after="0" w:line="280" w:lineRule="atLeast"/>
              <w:rPr>
                <w:lang w:val="en-US"/>
              </w:rPr>
            </w:pPr>
            <w:r>
              <w:rPr>
                <w:lang w:val="en-US"/>
              </w:rPr>
              <w:t>9</w:t>
            </w:r>
          </w:p>
        </w:tc>
      </w:tr>
      <w:tr w:rsidR="002B60FA" w14:paraId="1CF45B56" w14:textId="77777777" w:rsidTr="00016339">
        <w:tc>
          <w:tcPr>
            <w:tcW w:w="3209" w:type="dxa"/>
          </w:tcPr>
          <w:p w14:paraId="3F8574B2" w14:textId="39C2AC73" w:rsidR="002B60FA" w:rsidRDefault="002B60FA" w:rsidP="002B60FA">
            <w:pPr>
              <w:tabs>
                <w:tab w:val="clear" w:pos="1134"/>
                <w:tab w:val="clear" w:pos="1701"/>
                <w:tab w:val="clear" w:pos="2268"/>
              </w:tabs>
              <w:spacing w:before="120" w:after="0" w:line="280" w:lineRule="atLeast"/>
              <w:rPr>
                <w:lang w:val="en-US"/>
              </w:rPr>
            </w:pPr>
            <w:r>
              <w:rPr>
                <w:lang w:val="en-US"/>
              </w:rPr>
              <w:t>Number of Inspected ships (NOx)</w:t>
            </w:r>
          </w:p>
        </w:tc>
        <w:tc>
          <w:tcPr>
            <w:tcW w:w="3210" w:type="dxa"/>
          </w:tcPr>
          <w:p w14:paraId="7DDA973E" w14:textId="60015E88" w:rsidR="002B60FA" w:rsidRDefault="002B60FA" w:rsidP="002B60FA">
            <w:pPr>
              <w:tabs>
                <w:tab w:val="clear" w:pos="1134"/>
                <w:tab w:val="clear" w:pos="1701"/>
                <w:tab w:val="clear" w:pos="2268"/>
              </w:tabs>
              <w:spacing w:before="120" w:after="0" w:line="280" w:lineRule="atLeast"/>
              <w:rPr>
                <w:lang w:val="en-US"/>
              </w:rPr>
            </w:pPr>
            <w:r>
              <w:rPr>
                <w:lang w:val="en-US"/>
              </w:rPr>
              <w:t>1004</w:t>
            </w:r>
          </w:p>
        </w:tc>
        <w:tc>
          <w:tcPr>
            <w:tcW w:w="3210" w:type="dxa"/>
          </w:tcPr>
          <w:p w14:paraId="45E929C6" w14:textId="7A52A18B" w:rsidR="002B60FA" w:rsidRDefault="002B60FA" w:rsidP="002B60FA">
            <w:pPr>
              <w:tabs>
                <w:tab w:val="clear" w:pos="1134"/>
                <w:tab w:val="clear" w:pos="1701"/>
                <w:tab w:val="clear" w:pos="2268"/>
              </w:tabs>
              <w:spacing w:before="120" w:after="0" w:line="280" w:lineRule="atLeast"/>
              <w:rPr>
                <w:lang w:val="en-US"/>
              </w:rPr>
            </w:pPr>
            <w:r>
              <w:rPr>
                <w:lang w:val="en-US"/>
              </w:rPr>
              <w:t>1407 (from 2020)</w:t>
            </w:r>
          </w:p>
        </w:tc>
      </w:tr>
      <w:tr w:rsidR="002B60FA" w14:paraId="78876E83" w14:textId="77777777" w:rsidTr="00016339">
        <w:tc>
          <w:tcPr>
            <w:tcW w:w="3209" w:type="dxa"/>
          </w:tcPr>
          <w:p w14:paraId="6560B3E1" w14:textId="7C5E828D" w:rsidR="002B60FA" w:rsidRDefault="002B60FA" w:rsidP="002B60FA">
            <w:pPr>
              <w:tabs>
                <w:tab w:val="clear" w:pos="1134"/>
                <w:tab w:val="clear" w:pos="1701"/>
                <w:tab w:val="clear" w:pos="2268"/>
              </w:tabs>
              <w:spacing w:before="120" w:after="0" w:line="280" w:lineRule="atLeast"/>
              <w:rPr>
                <w:lang w:val="en-US"/>
              </w:rPr>
            </w:pPr>
            <w:r>
              <w:rPr>
                <w:lang w:val="en-US"/>
              </w:rPr>
              <w:t>Compliance rate NOx</w:t>
            </w:r>
          </w:p>
        </w:tc>
        <w:tc>
          <w:tcPr>
            <w:tcW w:w="3210" w:type="dxa"/>
          </w:tcPr>
          <w:p w14:paraId="49E19D13" w14:textId="5BBFA567" w:rsidR="002B60FA" w:rsidRDefault="002B60FA" w:rsidP="002B60FA">
            <w:pPr>
              <w:tabs>
                <w:tab w:val="clear" w:pos="1134"/>
                <w:tab w:val="clear" w:pos="1701"/>
                <w:tab w:val="clear" w:pos="2268"/>
              </w:tabs>
              <w:spacing w:before="120" w:after="0" w:line="280" w:lineRule="atLeast"/>
              <w:rPr>
                <w:lang w:val="en-US"/>
              </w:rPr>
            </w:pPr>
            <w:r>
              <w:rPr>
                <w:lang w:val="en-US"/>
              </w:rPr>
              <w:t>9</w:t>
            </w:r>
            <w:r w:rsidR="00DE5E8C">
              <w:rPr>
                <w:lang w:val="en-US"/>
              </w:rPr>
              <w:t>8</w:t>
            </w:r>
            <w:r>
              <w:rPr>
                <w:lang w:val="en-US"/>
              </w:rPr>
              <w:t>%</w:t>
            </w:r>
          </w:p>
        </w:tc>
        <w:tc>
          <w:tcPr>
            <w:tcW w:w="3210" w:type="dxa"/>
          </w:tcPr>
          <w:p w14:paraId="6F53AFAD" w14:textId="3205C395" w:rsidR="002B60FA" w:rsidRDefault="00DE5E8C" w:rsidP="002B60FA">
            <w:pPr>
              <w:tabs>
                <w:tab w:val="clear" w:pos="1134"/>
                <w:tab w:val="clear" w:pos="1701"/>
                <w:tab w:val="clear" w:pos="2268"/>
              </w:tabs>
              <w:spacing w:before="120" w:after="0" w:line="280" w:lineRule="atLeast"/>
              <w:rPr>
                <w:lang w:val="en-US"/>
              </w:rPr>
            </w:pPr>
            <w:r>
              <w:rPr>
                <w:lang w:val="en-US"/>
              </w:rPr>
              <w:t>97% (from 2020)</w:t>
            </w:r>
          </w:p>
        </w:tc>
      </w:tr>
    </w:tbl>
    <w:p w14:paraId="0862CE39" w14:textId="77777777" w:rsidR="00196307" w:rsidRDefault="00196307" w:rsidP="00196307">
      <w:pPr>
        <w:tabs>
          <w:tab w:val="clear" w:pos="1134"/>
          <w:tab w:val="clear" w:pos="1701"/>
          <w:tab w:val="clear" w:pos="2268"/>
        </w:tabs>
        <w:spacing w:before="120" w:after="0" w:line="280" w:lineRule="atLeast"/>
        <w:rPr>
          <w:lang w:val="en-US"/>
        </w:rPr>
      </w:pPr>
    </w:p>
    <w:p w14:paraId="3AD4D753" w14:textId="64CFE928" w:rsidR="00196307" w:rsidRPr="004C42B2" w:rsidRDefault="00196307" w:rsidP="00A03A85">
      <w:pPr>
        <w:pStyle w:val="ListParagraph"/>
        <w:numPr>
          <w:ilvl w:val="0"/>
          <w:numId w:val="17"/>
        </w:numPr>
        <w:spacing w:after="160" w:line="259" w:lineRule="auto"/>
        <w:ind w:left="0" w:firstLine="0"/>
        <w:jc w:val="both"/>
        <w:rPr>
          <w:lang w:val="en-US"/>
        </w:rPr>
      </w:pPr>
      <w:r w:rsidRPr="004C42B2">
        <w:rPr>
          <w:b/>
          <w:bCs/>
          <w:lang w:val="en-US"/>
        </w:rPr>
        <w:t xml:space="preserve">Denmark </w:t>
      </w:r>
      <w:r w:rsidRPr="004C42B2">
        <w:rPr>
          <w:lang w:val="en-US"/>
        </w:rPr>
        <w:t>was monitoring air emissions from shipping since 2015 through a fixed platform located in a bridge and a mobile platform. The former monitored 6,000 ships</w:t>
      </w:r>
      <w:r w:rsidR="004C42B2" w:rsidRPr="004C42B2">
        <w:rPr>
          <w:lang w:val="en-US"/>
        </w:rPr>
        <w:t xml:space="preserve"> in 2020</w:t>
      </w:r>
      <w:r w:rsidRPr="004C42B2">
        <w:rPr>
          <w:lang w:val="en-US"/>
        </w:rPr>
        <w:t xml:space="preserve"> and the latter 600 ships</w:t>
      </w:r>
      <w:r w:rsidR="004C42B2" w:rsidRPr="004C42B2">
        <w:rPr>
          <w:lang w:val="en-US"/>
        </w:rPr>
        <w:t xml:space="preserve"> in 2021. A total of </w:t>
      </w:r>
      <w:r w:rsidR="004C42B2">
        <w:t xml:space="preserve">4 alerts were generated from the fixed sniffer in 2020 and 13 from the mobile in 2021 and 2 from the drone project in 2020. </w:t>
      </w:r>
      <w:r w:rsidRPr="004C42B2">
        <w:rPr>
          <w:lang w:val="en-US"/>
        </w:rPr>
        <w:t>Denmark was participating with EMSA in a joint project. For the non-compliance cases of 2021, 2 were being managed by the Police and 13 had created alerts in THETIS-EU. NOx was also monitored but nothing was being done yet.</w:t>
      </w:r>
    </w:p>
    <w:p w14:paraId="3B315BB5" w14:textId="77777777" w:rsidR="00196307" w:rsidRDefault="00196307" w:rsidP="00196307">
      <w:pPr>
        <w:pStyle w:val="ListParagraph"/>
        <w:numPr>
          <w:ilvl w:val="0"/>
          <w:numId w:val="17"/>
        </w:numPr>
        <w:spacing w:after="160" w:line="259" w:lineRule="auto"/>
        <w:ind w:left="0" w:firstLine="0"/>
        <w:jc w:val="both"/>
      </w:pPr>
      <w:r w:rsidRPr="00CF0805">
        <w:rPr>
          <w:b/>
          <w:bCs/>
        </w:rPr>
        <w:t xml:space="preserve">France </w:t>
      </w:r>
      <w:r>
        <w:t xml:space="preserve">was carrying emissions monitoring since 2020 with EMSA’s support. RPAS were being used from ships. In 2021 more than 300 plumes were measured with a compliance rate of 98%. The information was included in THETIS-EU so that an inspection in the next port of call could be done. Based on the good cooperation with Belgium. Germany and Spain, 13 ships were inspected by France and 8 samples were taken. A MARPOL infringement was notified but no feedback from the legal side had been received. The trends showed that the shipping community was doing a great job regarding energy transition. Further monitoring operations were planned for 2022. In June a civil aircraft would be equipped with a hyperspectral camera, also done in cooperation with EMSA. In order to optimise the whole monitoring and inspection process, MSCC operators and PSC inspectors had access to THETIS-EU to better select targeted ships. </w:t>
      </w:r>
    </w:p>
    <w:p w14:paraId="2BC2A155" w14:textId="77777777" w:rsidR="00196307" w:rsidRDefault="00196307" w:rsidP="00196307">
      <w:pPr>
        <w:pStyle w:val="ListParagraph"/>
        <w:numPr>
          <w:ilvl w:val="0"/>
          <w:numId w:val="17"/>
        </w:numPr>
        <w:spacing w:after="160" w:line="259" w:lineRule="auto"/>
        <w:ind w:left="0" w:firstLine="0"/>
        <w:jc w:val="both"/>
      </w:pPr>
      <w:r w:rsidRPr="00CF0805">
        <w:rPr>
          <w:b/>
          <w:bCs/>
        </w:rPr>
        <w:t>EMSA</w:t>
      </w:r>
      <w:r>
        <w:t xml:space="preserve"> would provide information on their service and operations under the appropriate agenda item. </w:t>
      </w:r>
    </w:p>
    <w:p w14:paraId="64B3F1D9" w14:textId="29BBC281" w:rsidR="00196307" w:rsidRPr="00C61506" w:rsidRDefault="00196307" w:rsidP="00196307">
      <w:pPr>
        <w:pStyle w:val="ListParagraph"/>
        <w:numPr>
          <w:ilvl w:val="0"/>
          <w:numId w:val="17"/>
        </w:numPr>
        <w:spacing w:after="160" w:line="259" w:lineRule="auto"/>
        <w:ind w:left="0" w:firstLine="0"/>
        <w:jc w:val="both"/>
      </w:pPr>
      <w:r w:rsidRPr="00CF0805">
        <w:rPr>
          <w:b/>
          <w:bCs/>
        </w:rPr>
        <w:t>Germany</w:t>
      </w:r>
      <w:r w:rsidRPr="00C61506">
        <w:t xml:space="preserve"> </w:t>
      </w:r>
      <w:r>
        <w:t>op</w:t>
      </w:r>
      <w:r w:rsidRPr="00C61506">
        <w:t>erate</w:t>
      </w:r>
      <w:r>
        <w:t>s</w:t>
      </w:r>
      <w:r w:rsidRPr="00C61506">
        <w:t xml:space="preserve"> three ship emission monitoring stations at fixed measurement sites</w:t>
      </w:r>
      <w:r>
        <w:t xml:space="preserve"> using</w:t>
      </w:r>
      <w:r w:rsidRPr="00C61506">
        <w:t xml:space="preserve"> standard sniffer systems to monitor CO2, SO2 and NOx</w:t>
      </w:r>
      <w:r>
        <w:t xml:space="preserve">. </w:t>
      </w:r>
      <w:r w:rsidRPr="00C61506">
        <w:rPr>
          <w:lang w:val="en-US"/>
        </w:rPr>
        <w:t xml:space="preserve">In 2021 </w:t>
      </w:r>
      <w:r w:rsidR="00A70E38">
        <w:rPr>
          <w:lang w:val="en-US"/>
        </w:rPr>
        <w:t>a</w:t>
      </w:r>
      <w:r w:rsidRPr="00137858">
        <w:rPr>
          <w:lang w:val="en-US"/>
        </w:rPr>
        <w:t xml:space="preserve"> total of </w:t>
      </w:r>
      <w:r w:rsidRPr="00C61506">
        <w:rPr>
          <w:lang w:val="en-US"/>
        </w:rPr>
        <w:t xml:space="preserve">9189 plumes </w:t>
      </w:r>
      <w:r w:rsidRPr="00137858">
        <w:rPr>
          <w:lang w:val="en-US"/>
        </w:rPr>
        <w:t xml:space="preserve">were measured; </w:t>
      </w:r>
      <w:r w:rsidRPr="00C61506">
        <w:rPr>
          <w:lang w:val="en-US"/>
        </w:rPr>
        <w:t xml:space="preserve">in 17 cases </w:t>
      </w:r>
      <w:r w:rsidRPr="00137858">
        <w:rPr>
          <w:lang w:val="en-US"/>
        </w:rPr>
        <w:lastRenderedPageBreak/>
        <w:t>(</w:t>
      </w:r>
      <w:r w:rsidRPr="00C61506">
        <w:rPr>
          <w:lang w:val="en-US"/>
        </w:rPr>
        <w:t>0.19%</w:t>
      </w:r>
      <w:r w:rsidRPr="00137858">
        <w:rPr>
          <w:lang w:val="en-US"/>
        </w:rPr>
        <w:t>)</w:t>
      </w:r>
      <w:r w:rsidRPr="00C61506">
        <w:rPr>
          <w:lang w:val="en-US"/>
        </w:rPr>
        <w:t xml:space="preserve"> an elevated Sulphur concentration was indicated. Th</w:t>
      </w:r>
      <w:r w:rsidRPr="00137858">
        <w:rPr>
          <w:lang w:val="en-US"/>
        </w:rPr>
        <w:t xml:space="preserve">e compliance rate regarding Sulphur was </w:t>
      </w:r>
      <w:r w:rsidRPr="00C61506">
        <w:rPr>
          <w:lang w:val="en-US"/>
        </w:rPr>
        <w:t>more than 99%</w:t>
      </w:r>
      <w:r w:rsidRPr="00137858">
        <w:rPr>
          <w:lang w:val="en-US"/>
        </w:rPr>
        <w:t xml:space="preserve">, </w:t>
      </w:r>
      <w:r w:rsidRPr="00C61506">
        <w:rPr>
          <w:lang w:val="en-US"/>
        </w:rPr>
        <w:t>in line with previous years</w:t>
      </w:r>
      <w:r w:rsidRPr="00137858">
        <w:rPr>
          <w:lang w:val="en-US"/>
        </w:rPr>
        <w:t>’ findings</w:t>
      </w:r>
      <w:r w:rsidRPr="00C61506">
        <w:rPr>
          <w:lang w:val="en-US"/>
        </w:rPr>
        <w:t>. Only in 2015 and 2016, after a change in the regulation, a lower compliance rate</w:t>
      </w:r>
      <w:r w:rsidRPr="00137858">
        <w:rPr>
          <w:lang w:val="en-US"/>
        </w:rPr>
        <w:t xml:space="preserve"> was found</w:t>
      </w:r>
      <w:r w:rsidRPr="00C61506">
        <w:rPr>
          <w:lang w:val="en-US"/>
        </w:rPr>
        <w:t>.</w:t>
      </w:r>
      <w:r w:rsidRPr="00137858">
        <w:rPr>
          <w:lang w:val="en-US"/>
        </w:rPr>
        <w:t xml:space="preserve"> </w:t>
      </w:r>
      <w:r w:rsidRPr="00DB3B42">
        <w:t xml:space="preserve">Regarding the </w:t>
      </w:r>
      <w:r w:rsidRPr="00C61506">
        <w:t>on-board inspections</w:t>
      </w:r>
      <w:r w:rsidRPr="00DB3B42">
        <w:t>, in</w:t>
      </w:r>
      <w:r w:rsidRPr="00C61506">
        <w:t xml:space="preserve"> 2020 a total of 764 sulphur inspections w</w:t>
      </w:r>
      <w:r w:rsidRPr="00DB3B42">
        <w:t>ere</w:t>
      </w:r>
      <w:r w:rsidRPr="00C61506">
        <w:t xml:space="preserve"> carried.</w:t>
      </w:r>
      <w:r w:rsidRPr="00DB3B42">
        <w:t xml:space="preserve"> </w:t>
      </w:r>
      <w:r w:rsidRPr="00C61506">
        <w:t>Violations were detected in 18% of the inspections</w:t>
      </w:r>
      <w:r w:rsidRPr="00DB3B42">
        <w:t>, mostly regarding</w:t>
      </w:r>
      <w:r w:rsidRPr="00C61506">
        <w:t xml:space="preserve"> documentation issues</w:t>
      </w:r>
      <w:r w:rsidRPr="00DB3B42">
        <w:t xml:space="preserve"> and </w:t>
      </w:r>
      <w:r w:rsidRPr="00C61506">
        <w:t>most of them minor violations.</w:t>
      </w:r>
      <w:r w:rsidRPr="00DB3B42">
        <w:t xml:space="preserve"> </w:t>
      </w:r>
      <w:r w:rsidRPr="00C61506">
        <w:t>One third of the violations was fined afterwards.</w:t>
      </w:r>
      <w:r w:rsidRPr="00DB3B42">
        <w:t xml:space="preserve"> </w:t>
      </w:r>
      <w:r w:rsidRPr="00C61506">
        <w:t>Since 2018, Germany fined only 6 cases with threshold violations. The compliance rate for SOx-violations is therefore above 99%.</w:t>
      </w:r>
      <w:r>
        <w:t xml:space="preserve"> No</w:t>
      </w:r>
      <w:r w:rsidRPr="00C61506">
        <w:t xml:space="preserve"> data regarding NOx compliance</w:t>
      </w:r>
      <w:r>
        <w:t xml:space="preserve"> is analysed; only </w:t>
      </w:r>
      <w:r w:rsidRPr="00C61506">
        <w:t>documentation inspections.</w:t>
      </w:r>
    </w:p>
    <w:p w14:paraId="665205F8" w14:textId="77777777" w:rsidR="00196307" w:rsidRPr="00C61506" w:rsidRDefault="00196307" w:rsidP="00196307">
      <w:pPr>
        <w:pStyle w:val="ListParagraph"/>
        <w:numPr>
          <w:ilvl w:val="0"/>
          <w:numId w:val="17"/>
        </w:numPr>
        <w:spacing w:after="160" w:line="259" w:lineRule="auto"/>
        <w:ind w:left="0" w:firstLine="0"/>
        <w:jc w:val="both"/>
        <w:rPr>
          <w:lang w:val="en-US"/>
        </w:rPr>
      </w:pPr>
      <w:r w:rsidRPr="00C61506">
        <w:rPr>
          <w:lang w:val="en-US"/>
        </w:rPr>
        <w:t>On April 20</w:t>
      </w:r>
      <w:r w:rsidRPr="00C61506">
        <w:rPr>
          <w:vertAlign w:val="superscript"/>
          <w:lang w:val="en-US"/>
        </w:rPr>
        <w:t>th</w:t>
      </w:r>
      <w:r>
        <w:rPr>
          <w:lang w:val="en-US"/>
        </w:rPr>
        <w:t xml:space="preserve"> 2022</w:t>
      </w:r>
      <w:r w:rsidRPr="00C61506">
        <w:rPr>
          <w:lang w:val="en-US"/>
        </w:rPr>
        <w:t xml:space="preserve"> the EMSA RPAS-Service started in the German Baltic Sea. The helicopter drone, a Schiebel S100 Camcopter, </w:t>
      </w:r>
      <w:r>
        <w:rPr>
          <w:lang w:val="en-US"/>
        </w:rPr>
        <w:t>wa</w:t>
      </w:r>
      <w:r w:rsidRPr="00C61506">
        <w:rPr>
          <w:lang w:val="en-US"/>
        </w:rPr>
        <w:t>s launched from the island of Fehmarn in order to measure ship plumes in an area including the Fehmarn Belt as well as the western Kadetrenden. The RPAS fl</w:t>
      </w:r>
      <w:r>
        <w:rPr>
          <w:lang w:val="en-US"/>
        </w:rPr>
        <w:t>ied</w:t>
      </w:r>
      <w:r w:rsidRPr="00C61506">
        <w:rPr>
          <w:lang w:val="en-US"/>
        </w:rPr>
        <w:t xml:space="preserve"> twice a day on five days a week for 2.5 hours each flight. So far, 60 vessels were measured successfully and two of them showed an increased Sulphur content. However, both vessels were not calling German ports and therefore German authorities could not </w:t>
      </w:r>
      <w:r>
        <w:rPr>
          <w:lang w:val="en-US"/>
        </w:rPr>
        <w:t>carry out</w:t>
      </w:r>
      <w:r w:rsidRPr="00C61506">
        <w:rPr>
          <w:lang w:val="en-US"/>
        </w:rPr>
        <w:t xml:space="preserve"> on-board inspection</w:t>
      </w:r>
      <w:r>
        <w:rPr>
          <w:lang w:val="en-US"/>
        </w:rPr>
        <w:t>s</w:t>
      </w:r>
      <w:r w:rsidRPr="00C61506">
        <w:rPr>
          <w:lang w:val="en-US"/>
        </w:rPr>
        <w:t xml:space="preserve">. </w:t>
      </w:r>
      <w:r>
        <w:rPr>
          <w:lang w:val="en-US"/>
        </w:rPr>
        <w:t>Nevertheless,</w:t>
      </w:r>
      <w:r w:rsidRPr="00C61506">
        <w:rPr>
          <w:lang w:val="en-US"/>
        </w:rPr>
        <w:t xml:space="preserve"> the PSC in the next port of call </w:t>
      </w:r>
      <w:r>
        <w:rPr>
          <w:lang w:val="en-US"/>
        </w:rPr>
        <w:t xml:space="preserve">was informed </w:t>
      </w:r>
      <w:r w:rsidRPr="00C61506">
        <w:rPr>
          <w:lang w:val="en-US"/>
        </w:rPr>
        <w:t xml:space="preserve">and the information </w:t>
      </w:r>
      <w:r>
        <w:rPr>
          <w:lang w:val="en-US"/>
        </w:rPr>
        <w:t>was</w:t>
      </w:r>
      <w:r w:rsidRPr="00C61506">
        <w:rPr>
          <w:lang w:val="en-US"/>
        </w:rPr>
        <w:t xml:space="preserve"> available in THETIS-EU for Sulphur inspectors in EU Ports. The RPAS-Service </w:t>
      </w:r>
      <w:r>
        <w:rPr>
          <w:lang w:val="en-US"/>
        </w:rPr>
        <w:t>wa</w:t>
      </w:r>
      <w:r w:rsidRPr="00C61506">
        <w:rPr>
          <w:lang w:val="en-US"/>
        </w:rPr>
        <w:t>s planned to last until mid of July 2022.</w:t>
      </w:r>
    </w:p>
    <w:p w14:paraId="73BBE9C3" w14:textId="77777777" w:rsidR="00196307" w:rsidRPr="00C61506" w:rsidRDefault="00196307" w:rsidP="00196307">
      <w:pPr>
        <w:pStyle w:val="ListParagraph"/>
        <w:numPr>
          <w:ilvl w:val="0"/>
          <w:numId w:val="17"/>
        </w:numPr>
        <w:spacing w:after="160" w:line="259" w:lineRule="auto"/>
        <w:ind w:left="0" w:firstLine="0"/>
        <w:jc w:val="both"/>
        <w:rPr>
          <w:lang w:val="en-US"/>
        </w:rPr>
      </w:pPr>
      <w:r>
        <w:rPr>
          <w:lang w:val="en-US"/>
        </w:rPr>
        <w:t>Regarding alerts to</w:t>
      </w:r>
      <w:r w:rsidRPr="00C61506">
        <w:rPr>
          <w:lang w:val="en-US"/>
        </w:rPr>
        <w:t xml:space="preserve"> Thetis-EU</w:t>
      </w:r>
      <w:r>
        <w:rPr>
          <w:lang w:val="en-US"/>
        </w:rPr>
        <w:t xml:space="preserve">, recently Germany </w:t>
      </w:r>
      <w:r w:rsidRPr="00C61506">
        <w:rPr>
          <w:lang w:val="en-US"/>
        </w:rPr>
        <w:t xml:space="preserve">set up an automated reporting of alerts from </w:t>
      </w:r>
      <w:r>
        <w:rPr>
          <w:lang w:val="en-US"/>
        </w:rPr>
        <w:t xml:space="preserve">their </w:t>
      </w:r>
      <w:r w:rsidRPr="00C61506">
        <w:rPr>
          <w:lang w:val="en-US"/>
        </w:rPr>
        <w:t>fixed measurement sites to Thetis-EU</w:t>
      </w:r>
      <w:r>
        <w:rPr>
          <w:lang w:val="en-US"/>
        </w:rPr>
        <w:t xml:space="preserve">; only </w:t>
      </w:r>
      <w:r w:rsidRPr="00C61506">
        <w:rPr>
          <w:lang w:val="en-US"/>
        </w:rPr>
        <w:t xml:space="preserve">if the measured FSC minus the individual calculated uncertainty </w:t>
      </w:r>
      <w:r>
        <w:rPr>
          <w:lang w:val="en-US"/>
        </w:rPr>
        <w:t>wa</w:t>
      </w:r>
      <w:r w:rsidRPr="00C61506">
        <w:rPr>
          <w:lang w:val="en-US"/>
        </w:rPr>
        <w:t>s above the limit</w:t>
      </w:r>
      <w:r>
        <w:rPr>
          <w:lang w:val="en-US"/>
        </w:rPr>
        <w:t xml:space="preserve"> an alert would be created</w:t>
      </w:r>
      <w:r w:rsidRPr="00C61506">
        <w:rPr>
          <w:lang w:val="en-US"/>
        </w:rPr>
        <w:t>.</w:t>
      </w:r>
    </w:p>
    <w:p w14:paraId="0B03C28C" w14:textId="77777777" w:rsidR="00196307" w:rsidRPr="00C61506" w:rsidRDefault="00196307" w:rsidP="00196307">
      <w:pPr>
        <w:pStyle w:val="ListParagraph"/>
        <w:numPr>
          <w:ilvl w:val="0"/>
          <w:numId w:val="17"/>
        </w:numPr>
        <w:spacing w:after="160" w:line="259" w:lineRule="auto"/>
        <w:ind w:left="0" w:firstLine="0"/>
        <w:jc w:val="both"/>
        <w:rPr>
          <w:lang w:val="en-US"/>
        </w:rPr>
      </w:pPr>
      <w:r w:rsidRPr="00C61506">
        <w:rPr>
          <w:lang w:val="en-US"/>
        </w:rPr>
        <w:t>In 2021</w:t>
      </w:r>
      <w:r>
        <w:rPr>
          <w:lang w:val="en-US"/>
        </w:rPr>
        <w:t xml:space="preserve"> Germany </w:t>
      </w:r>
      <w:r w:rsidRPr="00C61506">
        <w:rPr>
          <w:lang w:val="en-US"/>
        </w:rPr>
        <w:t xml:space="preserve">started also with particle measurements at two </w:t>
      </w:r>
      <w:r>
        <w:rPr>
          <w:lang w:val="en-US"/>
        </w:rPr>
        <w:t>of the</w:t>
      </w:r>
      <w:r w:rsidRPr="00C61506">
        <w:rPr>
          <w:lang w:val="en-US"/>
        </w:rPr>
        <w:t xml:space="preserve"> sites</w:t>
      </w:r>
      <w:r>
        <w:rPr>
          <w:lang w:val="en-US"/>
        </w:rPr>
        <w:t xml:space="preserve">. By measuring </w:t>
      </w:r>
      <w:r w:rsidRPr="00C61506">
        <w:rPr>
          <w:lang w:val="en-US"/>
        </w:rPr>
        <w:t>the particle size distribution from below 10 nm up to 10 µm</w:t>
      </w:r>
      <w:r>
        <w:rPr>
          <w:lang w:val="en-US"/>
        </w:rPr>
        <w:t>,</w:t>
      </w:r>
      <w:r w:rsidRPr="00C61506">
        <w:rPr>
          <w:lang w:val="en-US"/>
        </w:rPr>
        <w:t xml:space="preserve"> </w:t>
      </w:r>
      <w:r>
        <w:rPr>
          <w:lang w:val="en-US"/>
        </w:rPr>
        <w:t>the</w:t>
      </w:r>
      <w:r w:rsidRPr="00C61506">
        <w:rPr>
          <w:lang w:val="en-US"/>
        </w:rPr>
        <w:t xml:space="preserve"> particle size dependent emission factors</w:t>
      </w:r>
      <w:r>
        <w:rPr>
          <w:lang w:val="en-US"/>
        </w:rPr>
        <w:t xml:space="preserve"> were calculated </w:t>
      </w:r>
      <w:r w:rsidRPr="00C61506">
        <w:rPr>
          <w:lang w:val="en-US"/>
        </w:rPr>
        <w:t xml:space="preserve">for individual ships. </w:t>
      </w:r>
      <w:r>
        <w:rPr>
          <w:lang w:val="en-US"/>
        </w:rPr>
        <w:t>P</w:t>
      </w:r>
      <w:r w:rsidRPr="00C61506">
        <w:rPr>
          <w:lang w:val="en-US"/>
        </w:rPr>
        <w:t xml:space="preserve">reliminary results </w:t>
      </w:r>
      <w:r>
        <w:rPr>
          <w:lang w:val="en-US"/>
        </w:rPr>
        <w:t>looked promising: there were</w:t>
      </w:r>
      <w:r w:rsidRPr="00C61506">
        <w:rPr>
          <w:lang w:val="en-US"/>
        </w:rPr>
        <w:t xml:space="preserve"> differences for different ship types and the majority of the emissions with respect to particle number </w:t>
      </w:r>
      <w:r>
        <w:rPr>
          <w:lang w:val="en-US"/>
        </w:rPr>
        <w:t>was</w:t>
      </w:r>
      <w:r w:rsidRPr="00C61506">
        <w:rPr>
          <w:lang w:val="en-US"/>
        </w:rPr>
        <w:t xml:space="preserve"> below 100 nm. Also, a significant amount of particle mass c</w:t>
      </w:r>
      <w:r>
        <w:rPr>
          <w:lang w:val="en-US"/>
        </w:rPr>
        <w:t>ould</w:t>
      </w:r>
      <w:r w:rsidRPr="00C61506">
        <w:rPr>
          <w:lang w:val="en-US"/>
        </w:rPr>
        <w:t xml:space="preserve"> be found at particle size below 300 nm.</w:t>
      </w:r>
    </w:p>
    <w:p w14:paraId="2A4B2D22" w14:textId="77777777" w:rsidR="00196307" w:rsidRDefault="00196307" w:rsidP="00196307">
      <w:pPr>
        <w:pStyle w:val="ListParagraph"/>
        <w:numPr>
          <w:ilvl w:val="0"/>
          <w:numId w:val="17"/>
        </w:numPr>
        <w:spacing w:after="160" w:line="259" w:lineRule="auto"/>
        <w:ind w:left="0" w:firstLine="0"/>
        <w:jc w:val="both"/>
        <w:rPr>
          <w:lang w:val="en-US"/>
        </w:rPr>
      </w:pPr>
      <w:r>
        <w:rPr>
          <w:lang w:val="en-US"/>
        </w:rPr>
        <w:t xml:space="preserve">Germany also </w:t>
      </w:r>
      <w:r w:rsidRPr="00C61506">
        <w:rPr>
          <w:lang w:val="en-US"/>
        </w:rPr>
        <w:t>contribute</w:t>
      </w:r>
      <w:r>
        <w:rPr>
          <w:lang w:val="en-US"/>
        </w:rPr>
        <w:t>d</w:t>
      </w:r>
      <w:r w:rsidRPr="00C61506">
        <w:rPr>
          <w:lang w:val="en-US"/>
        </w:rPr>
        <w:t xml:space="preserve"> to the SCIPPER project</w:t>
      </w:r>
      <w:r>
        <w:rPr>
          <w:lang w:val="en-US"/>
        </w:rPr>
        <w:t>.</w:t>
      </w:r>
    </w:p>
    <w:p w14:paraId="210F34A4" w14:textId="77777777" w:rsidR="00196307" w:rsidRDefault="00196307" w:rsidP="00196307">
      <w:pPr>
        <w:pStyle w:val="ListParagraph"/>
        <w:numPr>
          <w:ilvl w:val="0"/>
          <w:numId w:val="17"/>
        </w:numPr>
        <w:spacing w:after="160" w:line="259" w:lineRule="auto"/>
        <w:ind w:left="0" w:firstLine="0"/>
        <w:jc w:val="both"/>
      </w:pPr>
      <w:r w:rsidRPr="00CF0805">
        <w:rPr>
          <w:b/>
          <w:bCs/>
          <w:lang w:val="en-US"/>
        </w:rPr>
        <w:t xml:space="preserve">Ireland </w:t>
      </w:r>
      <w:r w:rsidRPr="00FA5A78">
        <w:rPr>
          <w:lang w:val="en-US"/>
        </w:rPr>
        <w:t xml:space="preserve">actively complied with all MARPOL obligations via Port State Control for non-Irish Flag Ships entering Ireland ports and Flag State Inspections for Irish Flagged Ships. The inspections were carried out by authorised and qualified Port State and Flag State control officers. Port State Control was conducted in accordance with the relevant guidelines adopted by the IMO and the Paris MOU for port State Control. MARPOL Annex VI inspections were not exempt from port state control enforcement and were included in Port State Control Activity. </w:t>
      </w:r>
      <w:r>
        <w:t>In addition, Ireland complied with its obligations under the EU Sulphur Directive with trained and warranted Sulphur Inspectors conducting specific targeted inspections and the use of the Thetis-EU Data base.</w:t>
      </w:r>
    </w:p>
    <w:p w14:paraId="5F632F66" w14:textId="77777777" w:rsidR="00196307" w:rsidRPr="00FA5A78" w:rsidRDefault="00196307" w:rsidP="00196307">
      <w:pPr>
        <w:pStyle w:val="ListParagraph"/>
        <w:numPr>
          <w:ilvl w:val="0"/>
          <w:numId w:val="17"/>
        </w:numPr>
        <w:spacing w:after="160" w:line="259" w:lineRule="auto"/>
        <w:ind w:left="0" w:firstLine="0"/>
        <w:jc w:val="both"/>
        <w:rPr>
          <w:lang w:val="en-US"/>
        </w:rPr>
      </w:pPr>
      <w:r w:rsidRPr="00FA5A78">
        <w:rPr>
          <w:lang w:val="en-US"/>
        </w:rPr>
        <w:t>Ireland’s Strategy was to actively engage in ensuring that there was robust capacity for the timely collection of suitable, reliable and qualitative information, providing a current and accurate overview of the country’s maritime emissions situation. This was in line with EU strategy on monitoring, reporting, and verification of emissions.</w:t>
      </w:r>
      <w:r>
        <w:rPr>
          <w:lang w:val="en-US"/>
        </w:rPr>
        <w:t xml:space="preserve"> </w:t>
      </w:r>
      <w:r w:rsidRPr="00FA5A78">
        <w:rPr>
          <w:lang w:val="en-US"/>
        </w:rPr>
        <w:t>To achieve measurement and monitoring of emissions Ireland w</w:t>
      </w:r>
      <w:r>
        <w:rPr>
          <w:lang w:val="en-US"/>
        </w:rPr>
        <w:t>ould</w:t>
      </w:r>
      <w:r w:rsidRPr="00FA5A78">
        <w:rPr>
          <w:lang w:val="en-US"/>
        </w:rPr>
        <w:t xml:space="preserve"> adopt three strategies:</w:t>
      </w:r>
    </w:p>
    <w:p w14:paraId="7B1E4241" w14:textId="77777777" w:rsidR="00196307" w:rsidRDefault="00196307" w:rsidP="00196307">
      <w:pPr>
        <w:pStyle w:val="ListParagraph"/>
        <w:numPr>
          <w:ilvl w:val="0"/>
          <w:numId w:val="18"/>
        </w:numPr>
        <w:spacing w:after="160" w:line="259" w:lineRule="auto"/>
        <w:ind w:left="1134" w:hanging="567"/>
        <w:contextualSpacing/>
        <w:jc w:val="both"/>
      </w:pPr>
      <w:r>
        <w:t xml:space="preserve">A focus on training and professional development of dedicated personnel - MSO Officers, IRCG Officers, including flag and port State control officers, legal experts, legislative drafters and maritime administrators. Combined with an updated legislative program in this area this first step will be the foundation of the strategy. </w:t>
      </w:r>
    </w:p>
    <w:p w14:paraId="52E0AE86" w14:textId="77777777" w:rsidR="00196307" w:rsidRDefault="00196307" w:rsidP="00196307">
      <w:pPr>
        <w:pStyle w:val="ListParagraph"/>
        <w:numPr>
          <w:ilvl w:val="0"/>
          <w:numId w:val="18"/>
        </w:numPr>
        <w:spacing w:after="160" w:line="259" w:lineRule="auto"/>
        <w:ind w:left="1134" w:hanging="567"/>
        <w:contextualSpacing/>
        <w:jc w:val="both"/>
      </w:pPr>
      <w:r>
        <w:t>The use of technologies for the analysis of these air samples comprising both stationary land-based measurement sites and aerial platforms.</w:t>
      </w:r>
    </w:p>
    <w:p w14:paraId="10942EB6" w14:textId="77777777" w:rsidR="00196307" w:rsidRDefault="00196307" w:rsidP="00196307">
      <w:pPr>
        <w:pStyle w:val="ListParagraph"/>
        <w:numPr>
          <w:ilvl w:val="0"/>
          <w:numId w:val="18"/>
        </w:numPr>
        <w:spacing w:after="160" w:line="259" w:lineRule="auto"/>
        <w:ind w:left="1134" w:hanging="567"/>
        <w:contextualSpacing/>
        <w:jc w:val="both"/>
      </w:pPr>
      <w:r>
        <w:t>Coordination, cooperation, and information exchange with national and international colleagues and agencies e.g. Within the BONN Agreement area working with Contracting Parties to develop a common strategy and operational procedures on MARPOL Annex VI monitoring activities.</w:t>
      </w:r>
    </w:p>
    <w:p w14:paraId="1FD0C267" w14:textId="77777777" w:rsidR="00196307" w:rsidRPr="00A00D0D" w:rsidRDefault="00196307" w:rsidP="00196307">
      <w:pPr>
        <w:pStyle w:val="ListParagraph"/>
        <w:numPr>
          <w:ilvl w:val="0"/>
          <w:numId w:val="17"/>
        </w:numPr>
        <w:spacing w:after="160" w:line="259" w:lineRule="auto"/>
        <w:ind w:left="0" w:firstLine="0"/>
        <w:jc w:val="both"/>
        <w:rPr>
          <w:lang w:val="en-US"/>
        </w:rPr>
      </w:pPr>
      <w:r w:rsidRPr="00A00D0D">
        <w:rPr>
          <w:lang w:val="en-US"/>
        </w:rPr>
        <w:lastRenderedPageBreak/>
        <w:t>The introduction of a National Ship Emissions Reduction Strategy (NSERS) would progress stated objectives in the Irish Maritime Directorate Strategy 2021 – 2025. In addition, it would help to transpose and implement international requirements in a national context and, it will support the achievement of international and regional goals/targets through complementary national action. The development of an NSERS would mobilise a broad range of national stakeholders to get involved in ship emissions reduction efforts, including those in shipping-related sectors that may not necessarily be covered by IMO conventions, and thereby bring in new ideas, experience, capabilities and resources This would be achieved through the monitoring of ship emissions within Irelands maritime space, and consultations with Stakeholders who use Ireland’s Economic Exclusive Zone (EEZ). A critical aspect for developing and in particular for implementing the NSERS was securing political will at the highest appropriate level. Development of an NSERS would require a significant degree of intergovernmental /agency and cross-sector coordination.  This cooperation and coordination should continue throughout the development and implementation process. The aim, objectives, actions and capabilities of the NSERS w</w:t>
      </w:r>
      <w:r>
        <w:rPr>
          <w:lang w:val="en-US"/>
        </w:rPr>
        <w:t>ould</w:t>
      </w:r>
      <w:r w:rsidRPr="00A00D0D">
        <w:rPr>
          <w:lang w:val="en-US"/>
        </w:rPr>
        <w:t xml:space="preserve"> also be aligned with the broader national interest . The NSERS w</w:t>
      </w:r>
      <w:r>
        <w:rPr>
          <w:lang w:val="en-US"/>
        </w:rPr>
        <w:t>ould</w:t>
      </w:r>
      <w:r w:rsidRPr="00A00D0D">
        <w:rPr>
          <w:lang w:val="en-US"/>
        </w:rPr>
        <w:t xml:space="preserve"> support broader national strategies on air quality, climate change, economic development, and development of national infrastructure in the maritime space.</w:t>
      </w:r>
    </w:p>
    <w:p w14:paraId="26BEAB6F" w14:textId="77777777" w:rsidR="00196307" w:rsidRPr="00AA1693" w:rsidRDefault="00196307" w:rsidP="00196307">
      <w:pPr>
        <w:pStyle w:val="ListParagraph"/>
        <w:numPr>
          <w:ilvl w:val="0"/>
          <w:numId w:val="17"/>
        </w:numPr>
        <w:spacing w:after="160" w:line="259" w:lineRule="auto"/>
        <w:ind w:left="0" w:firstLine="0"/>
        <w:jc w:val="both"/>
        <w:rPr>
          <w:lang w:val="en-US"/>
        </w:rPr>
      </w:pPr>
      <w:r w:rsidRPr="00AA1693">
        <w:rPr>
          <w:lang w:val="en-US"/>
        </w:rPr>
        <w:t xml:space="preserve">During 2020 and 2022 IRCG were involved with an RnD project with Business Incubator-Innovation Department Airbus Defence and Space in conjunction with Maynooth University, Irish Air Corps and Naval Service: The sensor -  hyperspectral remote sensing to remotely detect and measure the fuel Sulphur content being emitted from a ship’s exhaust. The technical concept required a longer design and environmental testing process. The conclusions of discussions with EMSA showed that the accuracy of sensor did not fit with their requirements (The 0.1% SFC threshold from SECA needs to be reached). In addition, IRCG were involved with a project with Maynooth Univesity on use of sniffers on drones – both onshore and offshore. IRCG remained in discussions with both Maynooth University and Airbus to provide strategic direction/coordination and support to both stakeholders to assist in the completion of their projects. </w:t>
      </w:r>
    </w:p>
    <w:p w14:paraId="7BC375C5" w14:textId="5B03FC9A" w:rsidR="00196307" w:rsidRPr="00DE482E" w:rsidRDefault="00196307" w:rsidP="00196307">
      <w:pPr>
        <w:pStyle w:val="ListParagraph"/>
        <w:numPr>
          <w:ilvl w:val="0"/>
          <w:numId w:val="17"/>
        </w:numPr>
        <w:spacing w:after="160" w:line="259" w:lineRule="auto"/>
        <w:ind w:left="0" w:firstLine="0"/>
        <w:jc w:val="both"/>
        <w:rPr>
          <w:lang w:val="en-US"/>
        </w:rPr>
      </w:pPr>
      <w:r w:rsidRPr="00CF0805">
        <w:rPr>
          <w:b/>
          <w:bCs/>
          <w:lang w:val="en-US"/>
        </w:rPr>
        <w:t>The Netherlands</w:t>
      </w:r>
      <w:r w:rsidRPr="00DE482E">
        <w:rPr>
          <w:lang w:val="en-US"/>
        </w:rPr>
        <w:t xml:space="preserve"> referred to a very high compliance rate at</w:t>
      </w:r>
      <w:r w:rsidR="00477164">
        <w:rPr>
          <w:lang w:val="en-US"/>
        </w:rPr>
        <w:t xml:space="preserve"> the</w:t>
      </w:r>
      <w:r w:rsidRPr="00DE482E">
        <w:rPr>
          <w:lang w:val="en-US"/>
        </w:rPr>
        <w:t xml:space="preserve"> fixed station</w:t>
      </w:r>
      <w:r w:rsidR="00477164">
        <w:rPr>
          <w:lang w:val="en-US"/>
        </w:rPr>
        <w:t xml:space="preserve"> at Rotterdam</w:t>
      </w:r>
      <w:r w:rsidRPr="00DE482E">
        <w:rPr>
          <w:lang w:val="en-US"/>
        </w:rPr>
        <w:t xml:space="preserve">. Alerts were received from </w:t>
      </w:r>
      <w:r w:rsidR="00477164">
        <w:rPr>
          <w:lang w:val="en-US"/>
        </w:rPr>
        <w:t xml:space="preserve">Belgium, </w:t>
      </w:r>
      <w:r w:rsidRPr="00DE482E">
        <w:rPr>
          <w:lang w:val="en-US"/>
        </w:rPr>
        <w:t>France and Spain on non-compliance measurements at sea, and the inspections were done at the Dutch ports as appropriate. In 2021</w:t>
      </w:r>
      <w:r w:rsidR="00477164">
        <w:rPr>
          <w:lang w:val="en-US"/>
        </w:rPr>
        <w:t xml:space="preserve"> a total of 19</w:t>
      </w:r>
      <w:r w:rsidRPr="00DE482E">
        <w:rPr>
          <w:lang w:val="en-US"/>
        </w:rPr>
        <w:t xml:space="preserve"> ships equipped with scrubbers were also monitored to check if the scrubbers were working</w:t>
      </w:r>
      <w:r w:rsidR="00477164">
        <w:rPr>
          <w:lang w:val="en-US"/>
        </w:rPr>
        <w:t>. An update from the Satellite project of Jasper van Vliet was not available to present to the meeting.</w:t>
      </w:r>
    </w:p>
    <w:p w14:paraId="148A0C77" w14:textId="77777777" w:rsidR="00196307" w:rsidRPr="00DE482E" w:rsidRDefault="00196307" w:rsidP="00196307">
      <w:pPr>
        <w:pStyle w:val="ListParagraph"/>
        <w:numPr>
          <w:ilvl w:val="0"/>
          <w:numId w:val="17"/>
        </w:numPr>
        <w:spacing w:after="160" w:line="259" w:lineRule="auto"/>
        <w:ind w:left="0" w:firstLine="0"/>
        <w:jc w:val="both"/>
        <w:rPr>
          <w:lang w:val="en-US"/>
        </w:rPr>
      </w:pPr>
      <w:r w:rsidRPr="00CF0805">
        <w:rPr>
          <w:b/>
          <w:bCs/>
          <w:lang w:val="en-US"/>
        </w:rPr>
        <w:t>Norway</w:t>
      </w:r>
      <w:r w:rsidRPr="00DE482E">
        <w:rPr>
          <w:lang w:val="en-US"/>
        </w:rPr>
        <w:t xml:space="preserve"> had low monitoring activities </w:t>
      </w:r>
      <w:r>
        <w:rPr>
          <w:lang w:val="en-US"/>
        </w:rPr>
        <w:t xml:space="preserve">in 2020 and 2021 </w:t>
      </w:r>
      <w:r w:rsidRPr="00DE482E">
        <w:rPr>
          <w:lang w:val="en-US"/>
        </w:rPr>
        <w:t xml:space="preserve">due to the pandemic. Some passenger ships </w:t>
      </w:r>
      <w:r>
        <w:rPr>
          <w:lang w:val="en-US"/>
        </w:rPr>
        <w:t>were</w:t>
      </w:r>
      <w:r w:rsidRPr="00DE482E">
        <w:rPr>
          <w:lang w:val="en-US"/>
        </w:rPr>
        <w:t xml:space="preserve"> targeted to be inspected by drones. </w:t>
      </w:r>
      <w:r>
        <w:rPr>
          <w:lang w:val="en-US"/>
        </w:rPr>
        <w:t>The</w:t>
      </w:r>
      <w:r w:rsidRPr="00DE482E">
        <w:rPr>
          <w:lang w:val="en-US"/>
        </w:rPr>
        <w:t xml:space="preserve"> 2020 and 2021 </w:t>
      </w:r>
      <w:r>
        <w:rPr>
          <w:lang w:val="en-US"/>
        </w:rPr>
        <w:t>summer</w:t>
      </w:r>
      <w:r w:rsidRPr="00DE482E">
        <w:rPr>
          <w:lang w:val="en-US"/>
        </w:rPr>
        <w:t xml:space="preserve"> campaigns</w:t>
      </w:r>
      <w:r>
        <w:rPr>
          <w:lang w:val="en-US"/>
        </w:rPr>
        <w:t xml:space="preserve"> detected</w:t>
      </w:r>
      <w:r w:rsidRPr="00DE482E">
        <w:rPr>
          <w:lang w:val="en-US"/>
        </w:rPr>
        <w:t xml:space="preserve"> 2 infringements that resulted in administrative fines. </w:t>
      </w:r>
    </w:p>
    <w:p w14:paraId="0F0CFB7D" w14:textId="40CD63E3" w:rsidR="00196307" w:rsidRPr="00CF0805" w:rsidRDefault="00196307" w:rsidP="00196307">
      <w:pPr>
        <w:pStyle w:val="ListParagraph"/>
        <w:numPr>
          <w:ilvl w:val="0"/>
          <w:numId w:val="17"/>
        </w:numPr>
        <w:spacing w:after="160" w:line="259" w:lineRule="auto"/>
        <w:ind w:left="0" w:firstLine="0"/>
        <w:jc w:val="both"/>
        <w:rPr>
          <w:lang w:val="en-US"/>
        </w:rPr>
      </w:pPr>
      <w:r w:rsidRPr="00CF0805">
        <w:rPr>
          <w:b/>
          <w:bCs/>
          <w:lang w:val="en-US"/>
        </w:rPr>
        <w:t>Spain</w:t>
      </w:r>
      <w:r w:rsidRPr="00DE482E">
        <w:rPr>
          <w:lang w:val="en-US"/>
        </w:rPr>
        <w:t xml:space="preserve"> had carried out monitoring operations in 2021 </w:t>
      </w:r>
      <w:r>
        <w:rPr>
          <w:lang w:val="en-US"/>
        </w:rPr>
        <w:t>deploying</w:t>
      </w:r>
      <w:r w:rsidRPr="00DE482E">
        <w:rPr>
          <w:lang w:val="en-US"/>
        </w:rPr>
        <w:t xml:space="preserve"> </w:t>
      </w:r>
      <w:r w:rsidRPr="001C488D">
        <w:rPr>
          <w:lang w:val="en-US"/>
        </w:rPr>
        <w:t xml:space="preserve">EMSA’s Camcopter in the Strait of Gibraltar. A total of 1521 were carried out, with 328 fuel sample analysis and 339 plume measurements in the Strait of Gibraltar. A good compliance level had been reached, clearly over target. The trends in compliance were satisfactory: less </w:t>
      </w:r>
      <w:r w:rsidR="00A70E38" w:rsidRPr="001C488D">
        <w:rPr>
          <w:lang w:val="en-US"/>
        </w:rPr>
        <w:t>infringements</w:t>
      </w:r>
      <w:r w:rsidRPr="001C488D">
        <w:rPr>
          <w:lang w:val="en-US"/>
        </w:rPr>
        <w:t xml:space="preserve"> were detected and lower sulphur content on fuel was observed on fuel samplings. On future prospects, Spain would continue to fulfil the requirements as well to stay aware of future developments. </w:t>
      </w:r>
      <w:r w:rsidRPr="00DE482E">
        <w:rPr>
          <w:lang w:val="en-US"/>
        </w:rPr>
        <w:t>In 2022 a campaign with EMSA drones would be organised by the summer.</w:t>
      </w:r>
      <w:r w:rsidRPr="001C488D">
        <w:rPr>
          <w:lang w:val="en-US"/>
        </w:rPr>
        <w:t xml:space="preserve"> </w:t>
      </w:r>
      <w:r>
        <w:rPr>
          <w:lang w:val="en-US"/>
        </w:rPr>
        <w:t xml:space="preserve">At the date of the meeting, </w:t>
      </w:r>
      <w:r w:rsidRPr="001C488D">
        <w:rPr>
          <w:lang w:val="en-US"/>
        </w:rPr>
        <w:t xml:space="preserve">50% of the target inspections for </w:t>
      </w:r>
      <w:r>
        <w:rPr>
          <w:lang w:val="en-US"/>
        </w:rPr>
        <w:t>2022 had been carrie</w:t>
      </w:r>
      <w:r w:rsidRPr="001C488D">
        <w:rPr>
          <w:lang w:val="en-US"/>
        </w:rPr>
        <w:t>d out (533 of 1054)</w:t>
      </w:r>
      <w:r>
        <w:rPr>
          <w:lang w:val="en-US"/>
        </w:rPr>
        <w:t xml:space="preserve"> and 30% of the target fuel samples had been analysed (</w:t>
      </w:r>
      <w:r w:rsidRPr="00CF0805">
        <w:rPr>
          <w:lang w:val="en-US"/>
        </w:rPr>
        <w:t>96 of 314)</w:t>
      </w:r>
      <w:r>
        <w:rPr>
          <w:lang w:val="en-US"/>
        </w:rPr>
        <w:t>.</w:t>
      </w:r>
    </w:p>
    <w:p w14:paraId="00189E1D" w14:textId="5B1CE2DF" w:rsidR="00196307" w:rsidRPr="00196307" w:rsidRDefault="00196307" w:rsidP="00B67137">
      <w:pPr>
        <w:numPr>
          <w:ilvl w:val="0"/>
          <w:numId w:val="17"/>
        </w:numPr>
        <w:tabs>
          <w:tab w:val="clear" w:pos="1134"/>
          <w:tab w:val="clear" w:pos="1701"/>
          <w:tab w:val="clear" w:pos="2268"/>
        </w:tabs>
        <w:spacing w:before="120" w:after="160" w:line="259" w:lineRule="auto"/>
        <w:ind w:left="0" w:firstLine="0"/>
        <w:rPr>
          <w:lang w:val="en-US"/>
        </w:rPr>
      </w:pPr>
      <w:r w:rsidRPr="00196307">
        <w:rPr>
          <w:lang w:val="en-US"/>
        </w:rPr>
        <w:t>The representative of the Swedish transport agency could not attend the meeting, Johan Mellqvist from Chalmers University mentioned that they monitored more than 2000 ships</w:t>
      </w:r>
      <w:r>
        <w:rPr>
          <w:lang w:val="en-US"/>
        </w:rPr>
        <w:t xml:space="preserve"> with the fixed station on the great Belt Bridge</w:t>
      </w:r>
      <w:r w:rsidRPr="00196307">
        <w:rPr>
          <w:lang w:val="en-US"/>
        </w:rPr>
        <w:t xml:space="preserve">. The sensor could also measure NOx and methane. It had been broken and could not be repaired for a period of time because of the pandemic.  They also deployed a new sensor system (see below) with this sensor system the uncertainty was reduced resulting in a lower threshold for reporting potential non-compliance. Nevertheless even with the lowered thresholds the non-compliance rate was less than 3%. had monitored 2000 ships in 2021 with a compliance rate of 97%. Using a fixed station in a bridge. </w:t>
      </w:r>
    </w:p>
    <w:p w14:paraId="4B767EC0" w14:textId="77777777" w:rsidR="00196307" w:rsidRPr="00DE482E" w:rsidRDefault="00196307" w:rsidP="00196307">
      <w:pPr>
        <w:pStyle w:val="ListParagraph"/>
        <w:numPr>
          <w:ilvl w:val="0"/>
          <w:numId w:val="17"/>
        </w:numPr>
        <w:spacing w:after="160" w:line="259" w:lineRule="auto"/>
        <w:ind w:left="0" w:firstLine="0"/>
        <w:jc w:val="both"/>
        <w:rPr>
          <w:lang w:val="en-US"/>
        </w:rPr>
      </w:pPr>
      <w:r>
        <w:rPr>
          <w:lang w:val="en-US"/>
        </w:rPr>
        <w:lastRenderedPageBreak/>
        <w:t xml:space="preserve">The </w:t>
      </w:r>
      <w:r w:rsidRPr="00CF0805">
        <w:rPr>
          <w:b/>
          <w:bCs/>
          <w:lang w:val="en-US"/>
        </w:rPr>
        <w:t>United Kingdom</w:t>
      </w:r>
      <w:r>
        <w:rPr>
          <w:lang w:val="en-US"/>
        </w:rPr>
        <w:t xml:space="preserve"> was present in the meeting but did not give an update. </w:t>
      </w:r>
    </w:p>
    <w:p w14:paraId="07A04BFB" w14:textId="77777777" w:rsidR="00A8755B" w:rsidRDefault="00A8755B" w:rsidP="00A8755B">
      <w:pPr>
        <w:pStyle w:val="ListParagraph"/>
        <w:rPr>
          <w:lang w:val="en-US"/>
        </w:rPr>
      </w:pPr>
    </w:p>
    <w:p w14:paraId="3D95776C" w14:textId="77777777" w:rsidR="00A8755B" w:rsidRPr="00A8755B" w:rsidRDefault="00A8755B" w:rsidP="00A8755B">
      <w:pPr>
        <w:rPr>
          <w:b/>
          <w:bCs/>
          <w:szCs w:val="22"/>
        </w:rPr>
      </w:pPr>
      <w:r w:rsidRPr="00A8755B">
        <w:rPr>
          <w:b/>
          <w:bCs/>
          <w:szCs w:val="22"/>
        </w:rPr>
        <w:t>Action 9.1: Consider the recent sensor developments, also for drones (e.g. optical/laser sensors)</w:t>
      </w:r>
    </w:p>
    <w:p w14:paraId="0514BCEC" w14:textId="426A4E9B" w:rsidR="00A8755B" w:rsidRDefault="00A8755B" w:rsidP="00196307">
      <w:pPr>
        <w:pStyle w:val="ListParagraph"/>
        <w:numPr>
          <w:ilvl w:val="0"/>
          <w:numId w:val="17"/>
        </w:numPr>
        <w:spacing w:after="160" w:line="259" w:lineRule="auto"/>
        <w:ind w:left="0" w:firstLine="0"/>
        <w:jc w:val="both"/>
        <w:rPr>
          <w:lang w:val="en-US"/>
        </w:rPr>
      </w:pPr>
      <w:r>
        <w:rPr>
          <w:lang w:val="en-US"/>
        </w:rPr>
        <w:t>In this section 3 speakers presented the latest sensor developments for the remote monitoring of ship emissions</w:t>
      </w:r>
      <w:r w:rsidR="004334DE">
        <w:rPr>
          <w:lang w:val="en-US"/>
        </w:rPr>
        <w:t>.</w:t>
      </w:r>
    </w:p>
    <w:p w14:paraId="20601058" w14:textId="2E55AD42" w:rsidR="00F30BB5" w:rsidRDefault="004334DE" w:rsidP="00A21023">
      <w:pPr>
        <w:pStyle w:val="ListParagraph"/>
        <w:numPr>
          <w:ilvl w:val="0"/>
          <w:numId w:val="17"/>
        </w:numPr>
        <w:spacing w:after="160" w:line="259" w:lineRule="auto"/>
        <w:ind w:left="0" w:firstLine="0"/>
        <w:jc w:val="both"/>
      </w:pPr>
      <w:r w:rsidRPr="00C60C3D">
        <w:rPr>
          <w:b/>
          <w:bCs/>
          <w:lang w:val="en-US"/>
        </w:rPr>
        <w:t>Inspection Team</w:t>
      </w:r>
      <w:r w:rsidRPr="00C60C3D">
        <w:rPr>
          <w:lang w:val="en-US"/>
        </w:rPr>
        <w:t xml:space="preserve">, </w:t>
      </w:r>
      <w:r w:rsidRPr="00C60C3D">
        <w:t>introduced</w:t>
      </w:r>
      <w:r w:rsidRPr="00C60C3D">
        <w:rPr>
          <w:lang w:val="en-US"/>
        </w:rPr>
        <w:t xml:space="preserve"> their Optical UV sensor which is still in development. The ultimate goal is to use this sensor on an aircraft or drone, but technically this system could also be used in a fixed sensor setup. For the moment the accuracy of the sensor is insufficient for compliance monitoring, but they hope to provide a solution in the short run. Due to their unwillingness to undisclosed technical details not much was learned about the working mechanism, accuracy and technical details. </w:t>
      </w:r>
      <w:r w:rsidR="00F30BB5">
        <w:t xml:space="preserve">The MUDP Project was a collaboration between leading companies from across the Atlantic and Danish specialists to create better methods documenting emission in the ship industry, create stationary mounted sensors in narrow waters and harbours, and validating the measuring methods using drone mounted camera for plume concentration in the marine environment. </w:t>
      </w:r>
      <w:r w:rsidR="00C60C3D">
        <w:t>MUDP project was supported by the Danish Government, for developing new environmental technologies</w:t>
      </w:r>
      <w:r w:rsidR="00C60C3D" w:rsidRPr="00C60C3D">
        <w:rPr>
          <w:rFonts w:ascii="Times New Roman" w:hAnsi="Times New Roman"/>
          <w:sz w:val="24"/>
          <w:szCs w:val="24"/>
        </w:rPr>
        <w:t xml:space="preserve">. </w:t>
      </w:r>
      <w:r w:rsidR="00C60C3D">
        <w:t xml:space="preserve">Additional information about the MUDP-project was available at </w:t>
      </w:r>
      <w:hyperlink r:id="rId11" w:history="1">
        <w:r w:rsidR="00C60C3D" w:rsidRPr="00111290">
          <w:rPr>
            <w:rStyle w:val="Hyperlink"/>
          </w:rPr>
          <w:t>https://ecoinnovation.dk/english/</w:t>
        </w:r>
      </w:hyperlink>
      <w:r w:rsidR="00C60C3D">
        <w:t xml:space="preserve">. </w:t>
      </w:r>
      <w:r w:rsidR="00F30BB5">
        <w:t xml:space="preserve">The camera was under development and could only be used at daytime. The aim was to visualize the plume during the flight. </w:t>
      </w:r>
    </w:p>
    <w:p w14:paraId="5D5B4C4B" w14:textId="47133DE4" w:rsidR="00F30BB5" w:rsidRDefault="007E1E57" w:rsidP="00F30BB5">
      <w:pPr>
        <w:pStyle w:val="ListParagraph"/>
        <w:numPr>
          <w:ilvl w:val="0"/>
          <w:numId w:val="17"/>
        </w:numPr>
        <w:spacing w:after="160" w:line="259" w:lineRule="auto"/>
        <w:ind w:left="0" w:firstLine="0"/>
        <w:jc w:val="both"/>
      </w:pPr>
      <w:r w:rsidRPr="00F30BB5">
        <w:rPr>
          <w:b/>
          <w:bCs/>
          <w:lang w:val="en-US"/>
        </w:rPr>
        <w:t>Telops</w:t>
      </w:r>
      <w:r w:rsidR="00F30BB5">
        <w:rPr>
          <w:lang w:val="en-US"/>
        </w:rPr>
        <w:t>,</w:t>
      </w:r>
      <w:r w:rsidRPr="00F30BB5">
        <w:rPr>
          <w:lang w:val="en-US"/>
        </w:rPr>
        <w:t xml:space="preserve"> has been involved in the development of hyperspectral sensors since 2005. With more than 100kg, the first sensor was very heavy. In recent years they were able to reduce this weight dramatically. The latest sensor (Hypercam-mini) weighted only 25 kg. This sensor was used during the Scipper campaign and showed to be </w:t>
      </w:r>
      <w:r w:rsidR="00F30BB5" w:rsidRPr="00F30BB5">
        <w:rPr>
          <w:lang w:val="en-US"/>
        </w:rPr>
        <w:t>useful</w:t>
      </w:r>
      <w:r w:rsidRPr="00F30BB5">
        <w:rPr>
          <w:lang w:val="en-US"/>
        </w:rPr>
        <w:t xml:space="preserve"> for the detection of the smoke plumes. Sulfur content could be quantized, nevertheless the accuracy was still too low. The advantage is the long range of the sensor (500m-3 km)</w:t>
      </w:r>
      <w:r w:rsidR="00A156F5" w:rsidRPr="00F30BB5">
        <w:rPr>
          <w:lang w:val="en-US"/>
        </w:rPr>
        <w:t xml:space="preserve">. </w:t>
      </w:r>
      <w:r w:rsidRPr="00F30BB5">
        <w:rPr>
          <w:lang w:val="en-US"/>
        </w:rPr>
        <w:t>The sensor is furthermore useful for the measurement of methane, VOCs and other gas species. An even smaller hyperspectral sensor is now in development (nano-hypercam).</w:t>
      </w:r>
      <w:r w:rsidR="00F30BB5">
        <w:rPr>
          <w:lang w:val="en-US"/>
        </w:rPr>
        <w:t xml:space="preserve"> </w:t>
      </w:r>
      <w:r w:rsidR="00F30BB5">
        <w:t xml:space="preserve">More campaigns are needed to provide information about the accuracy of the system. It was expected to have the results in 2 minutes time. It was clarified that in order to only measure the target gases in the plume, a discrimination was done considering the temperature of the chimney. </w:t>
      </w:r>
    </w:p>
    <w:p w14:paraId="1DCCDE79" w14:textId="519DB211" w:rsidR="00F30BB5" w:rsidRPr="003E10C2" w:rsidRDefault="00F30BB5" w:rsidP="00F30BB5">
      <w:pPr>
        <w:pStyle w:val="ListParagraph"/>
        <w:numPr>
          <w:ilvl w:val="0"/>
          <w:numId w:val="17"/>
        </w:numPr>
        <w:spacing w:after="160" w:line="259" w:lineRule="auto"/>
        <w:ind w:left="0" w:firstLine="0"/>
        <w:jc w:val="both"/>
      </w:pPr>
      <w:r w:rsidRPr="003E10C2">
        <w:rPr>
          <w:b/>
          <w:bCs/>
        </w:rPr>
        <w:t>Chalmers University (Sweden)</w:t>
      </w:r>
      <w:r>
        <w:t xml:space="preserve"> presented laser sensors (p0901_03).</w:t>
      </w:r>
      <w:r w:rsidRPr="003E10C2">
        <w:t xml:space="preserve"> The laser spectrometer was efficient in capturing also small ship plumes, thanks to low detection limits (approx 0.06 ppb for SO2 and short time response, i.e. 1 s ). A comparison between the laser and the standard sensor showed a good correlation between the two systems while relatively large negative bias and more variability for the standard system. A comparison of measurements against on board/fuel samples showed a dependence on </w:t>
      </w:r>
      <w:r>
        <w:t>relative humidity (</w:t>
      </w:r>
      <w:r w:rsidRPr="003E10C2">
        <w:t>RH</w:t>
      </w:r>
      <w:r>
        <w:t xml:space="preserve">) of </w:t>
      </w:r>
      <w:r w:rsidRPr="003E10C2">
        <w:t>above 75%</w:t>
      </w:r>
      <w:r>
        <w:t>, that u</w:t>
      </w:r>
      <w:r w:rsidRPr="003E10C2">
        <w:t>ncorrected laser data ha</w:t>
      </w:r>
      <w:r>
        <w:t>d</w:t>
      </w:r>
      <w:r w:rsidRPr="003E10C2">
        <w:t xml:space="preserve"> a negative bias of about 0.02 FSC units and relatively large variability </w:t>
      </w:r>
      <w:r>
        <w:t>and that t</w:t>
      </w:r>
      <w:r w:rsidRPr="003E10C2">
        <w:t>he RH Filtered data ha</w:t>
      </w:r>
      <w:r>
        <w:t>d</w:t>
      </w:r>
      <w:r w:rsidRPr="003E10C2">
        <w:t xml:space="preserve"> a small negative bias in the median value of 0.01 FSC units and a variability of +-0.02 FSC units</w:t>
      </w:r>
      <w:r>
        <w:t>.</w:t>
      </w:r>
    </w:p>
    <w:p w14:paraId="1A290126" w14:textId="312B81C3" w:rsidR="00320A55" w:rsidRPr="00F30BB5" w:rsidRDefault="00F30BB5" w:rsidP="00F30BB5">
      <w:pPr>
        <w:pStyle w:val="ListParagraph"/>
        <w:numPr>
          <w:ilvl w:val="0"/>
          <w:numId w:val="17"/>
        </w:numPr>
        <w:spacing w:after="160" w:line="259" w:lineRule="auto"/>
        <w:ind w:left="0" w:firstLine="0"/>
        <w:jc w:val="both"/>
      </w:pPr>
      <w:r>
        <w:t>On the impact of the relative humidity</w:t>
      </w:r>
      <w:r w:rsidRPr="009F6523">
        <w:t>,</w:t>
      </w:r>
      <w:r>
        <w:t xml:space="preserve"> it was suggested that </w:t>
      </w:r>
      <w:r w:rsidRPr="009F6523">
        <w:t>the atmospheric conditions might affect the plume</w:t>
      </w:r>
      <w:r>
        <w:t>. Belgium</w:t>
      </w:r>
      <w:r w:rsidRPr="009F6523">
        <w:t xml:space="preserve"> also </w:t>
      </w:r>
      <w:r>
        <w:t xml:space="preserve">detected </w:t>
      </w:r>
      <w:r w:rsidRPr="009F6523">
        <w:t>lower values w</w:t>
      </w:r>
      <w:r>
        <w:t>ith</w:t>
      </w:r>
      <w:r w:rsidRPr="009F6523">
        <w:t xml:space="preserve"> high</w:t>
      </w:r>
      <w:r>
        <w:t xml:space="preserve"> humidity. </w:t>
      </w:r>
      <w:r w:rsidRPr="00F965C2">
        <w:t>Chalmers University</w:t>
      </w:r>
      <w:r w:rsidRPr="003E10C2">
        <w:rPr>
          <w:b/>
          <w:bCs/>
        </w:rPr>
        <w:t xml:space="preserve"> </w:t>
      </w:r>
      <w:r>
        <w:t>was studying whether the dependence of RH was inside</w:t>
      </w:r>
      <w:r w:rsidRPr="009F6523">
        <w:t xml:space="preserve"> </w:t>
      </w:r>
      <w:r>
        <w:t>or</w:t>
      </w:r>
      <w:r w:rsidRPr="009F6523">
        <w:t xml:space="preserve"> outside</w:t>
      </w:r>
      <w:r>
        <w:t xml:space="preserve"> the system.</w:t>
      </w:r>
    </w:p>
    <w:p w14:paraId="1CD436EE" w14:textId="05EBD550" w:rsidR="00320A55" w:rsidRDefault="00320A55" w:rsidP="00320A55">
      <w:pPr>
        <w:tabs>
          <w:tab w:val="clear" w:pos="1134"/>
          <w:tab w:val="clear" w:pos="1701"/>
          <w:tab w:val="clear" w:pos="2268"/>
        </w:tabs>
        <w:spacing w:before="120" w:after="0" w:line="280" w:lineRule="atLeast"/>
        <w:rPr>
          <w:b/>
          <w:bCs/>
          <w:lang w:val="en-US"/>
        </w:rPr>
      </w:pPr>
      <w:r w:rsidRPr="00320A55">
        <w:rPr>
          <w:b/>
          <w:bCs/>
          <w:lang w:val="en-US"/>
        </w:rPr>
        <w:t>Action 9.2: Take into account national experience, ongoing operations and their recommendations, and the outcome of previous projects such as SCIPPER and COMPMON</w:t>
      </w:r>
    </w:p>
    <w:p w14:paraId="4363125D" w14:textId="77777777" w:rsidR="00F30BB5" w:rsidRDefault="00F30BB5" w:rsidP="00320A55">
      <w:pPr>
        <w:tabs>
          <w:tab w:val="clear" w:pos="1134"/>
          <w:tab w:val="clear" w:pos="1701"/>
          <w:tab w:val="clear" w:pos="2268"/>
        </w:tabs>
        <w:spacing w:before="120" w:after="0" w:line="280" w:lineRule="atLeast"/>
        <w:rPr>
          <w:b/>
          <w:bCs/>
          <w:lang w:val="en-US"/>
        </w:rPr>
      </w:pPr>
    </w:p>
    <w:p w14:paraId="25DCE30D" w14:textId="77777777" w:rsidR="00F30BB5" w:rsidRPr="009F6523" w:rsidRDefault="00F30BB5" w:rsidP="00F30BB5">
      <w:pPr>
        <w:pStyle w:val="ListParagraph"/>
        <w:numPr>
          <w:ilvl w:val="0"/>
          <w:numId w:val="17"/>
        </w:numPr>
        <w:spacing w:after="160" w:line="259" w:lineRule="auto"/>
        <w:ind w:left="0" w:firstLine="0"/>
        <w:jc w:val="both"/>
      </w:pPr>
      <w:r w:rsidRPr="00664BBD">
        <w:rPr>
          <w:b/>
          <w:bCs/>
        </w:rPr>
        <w:t>Prof. Leonidas Ntziachristos (Greece),</w:t>
      </w:r>
      <w:r>
        <w:t xml:space="preserve"> SCIPPER project coordinator, gave a presentation on the technical possibilities to monitor vessel emissions explored in the SCIPPER project (p0902_01). </w:t>
      </w:r>
      <w:r w:rsidRPr="0091611E">
        <w:t xml:space="preserve">The </w:t>
      </w:r>
      <w:r>
        <w:t xml:space="preserve">consortium of the </w:t>
      </w:r>
      <w:r w:rsidRPr="00AE2F85">
        <w:t xml:space="preserve">project included 18 partners. The aim of the project was to test the different kind of monitoring techniques including airborne, on board funnel &amp; plume, sniffer and optical remote sensing, plume to city dispersion in chemistry modelling and satellite monitoring in 5 campaigns in the Atlantic and </w:t>
      </w:r>
      <w:r w:rsidRPr="00AE2F85">
        <w:lastRenderedPageBreak/>
        <w:t xml:space="preserve">the Mediterranean. The SCIPPER project would end in January 2023 and the deliverables would be published by the end of 2022. </w:t>
      </w:r>
      <w:r>
        <w:t>The meeting was asked not to disseminate the conclusions presented as they still had not been discussed in the consortium.</w:t>
      </w:r>
    </w:p>
    <w:p w14:paraId="25FF23B8" w14:textId="77777777" w:rsidR="00F30BB5" w:rsidRPr="0091611E" w:rsidRDefault="00F30BB5" w:rsidP="00F30BB5">
      <w:pPr>
        <w:pStyle w:val="ListParagraph"/>
        <w:numPr>
          <w:ilvl w:val="0"/>
          <w:numId w:val="17"/>
        </w:numPr>
        <w:spacing w:after="160" w:line="259" w:lineRule="auto"/>
        <w:ind w:left="0" w:firstLine="0"/>
        <w:jc w:val="both"/>
      </w:pPr>
      <w:r>
        <w:t>It was confirmed that fuel samples were used to compare the measurements. The absolute deviation was dependant on the environmental conditions. One of the working packages addressed the uncertainty quantification. Having a harmonised method to report confidence or uncertainty would provide transparency to the monitoring.</w:t>
      </w:r>
    </w:p>
    <w:p w14:paraId="36F1D1F8" w14:textId="7DB15A1B" w:rsidR="00320A55" w:rsidRDefault="00320A55" w:rsidP="00320A55">
      <w:pPr>
        <w:tabs>
          <w:tab w:val="clear" w:pos="1134"/>
          <w:tab w:val="clear" w:pos="1701"/>
          <w:tab w:val="clear" w:pos="2268"/>
        </w:tabs>
        <w:spacing w:before="120" w:after="0" w:line="280" w:lineRule="atLeast"/>
        <w:rPr>
          <w:b/>
          <w:bCs/>
          <w:lang w:val="en-US"/>
        </w:rPr>
      </w:pPr>
      <w:r w:rsidRPr="00320A55">
        <w:rPr>
          <w:b/>
          <w:bCs/>
          <w:lang w:val="en-US"/>
        </w:rPr>
        <w:t>SOWG Action 9.4: Consider using EMSA sniffer drones in joint campaigns under the Bonn Agreement and sharing experience on the drone deployments among CPs to increase knowledge</w:t>
      </w:r>
    </w:p>
    <w:p w14:paraId="17DABB05" w14:textId="77777777" w:rsidR="00F30BB5" w:rsidRDefault="00F30BB5" w:rsidP="00320A55">
      <w:pPr>
        <w:tabs>
          <w:tab w:val="clear" w:pos="1134"/>
          <w:tab w:val="clear" w:pos="1701"/>
          <w:tab w:val="clear" w:pos="2268"/>
        </w:tabs>
        <w:spacing w:before="120" w:after="0" w:line="280" w:lineRule="atLeast"/>
        <w:rPr>
          <w:b/>
          <w:bCs/>
          <w:lang w:val="en-US"/>
        </w:rPr>
      </w:pPr>
    </w:p>
    <w:p w14:paraId="7B105E5B" w14:textId="496CCC14" w:rsidR="003E46D6" w:rsidRDefault="00F30BB5" w:rsidP="003E46D6">
      <w:pPr>
        <w:pStyle w:val="ListParagraph"/>
        <w:numPr>
          <w:ilvl w:val="0"/>
          <w:numId w:val="17"/>
        </w:numPr>
        <w:spacing w:after="160" w:line="259" w:lineRule="auto"/>
        <w:ind w:left="0" w:firstLine="0"/>
        <w:jc w:val="both"/>
      </w:pPr>
      <w:r w:rsidRPr="00664BBD">
        <w:rPr>
          <w:b/>
          <w:bCs/>
        </w:rPr>
        <w:t>EMSA (EU)</w:t>
      </w:r>
      <w:r>
        <w:t xml:space="preserve"> gave a presentation on the status and future technical developments of RPAS (p0904_01). Under the RPAS Emission Monitoring Service, more than 1,000 SOX measurements </w:t>
      </w:r>
      <w:r w:rsidR="00EC52EF">
        <w:t>have been collected and</w:t>
      </w:r>
      <w:r>
        <w:t xml:space="preserve"> transferred to THETIS-EU. In 2021, a total of 11 </w:t>
      </w:r>
      <w:r w:rsidR="000E0E27">
        <w:t xml:space="preserve">RPAS </w:t>
      </w:r>
      <w:r>
        <w:t>operations were performed with more than 1,700 operational days</w:t>
      </w:r>
      <w:r w:rsidR="003E46D6">
        <w:t>, of which there were 3 operations dedicated to emission monitoring in Lithuania, France and Spain</w:t>
      </w:r>
      <w:r>
        <w:t>.</w:t>
      </w:r>
    </w:p>
    <w:tbl>
      <w:tblPr>
        <w:tblStyle w:val="TableGrid"/>
        <w:tblW w:w="0" w:type="auto"/>
        <w:tblLook w:val="04A0" w:firstRow="1" w:lastRow="0" w:firstColumn="1" w:lastColumn="0" w:noHBand="0" w:noVBand="1"/>
      </w:tblPr>
      <w:tblGrid>
        <w:gridCol w:w="7225"/>
        <w:gridCol w:w="2404"/>
      </w:tblGrid>
      <w:tr w:rsidR="003E46D6" w14:paraId="0DF275C5" w14:textId="77777777" w:rsidTr="003E46D6">
        <w:tc>
          <w:tcPr>
            <w:tcW w:w="7225" w:type="dxa"/>
          </w:tcPr>
          <w:p w14:paraId="0E7D2F3D" w14:textId="456F4A49" w:rsidR="003E46D6" w:rsidRDefault="003E46D6" w:rsidP="003E46D6">
            <w:pPr>
              <w:pStyle w:val="ListParagraph"/>
              <w:spacing w:after="160" w:line="259" w:lineRule="auto"/>
              <w:ind w:left="0"/>
              <w:jc w:val="both"/>
              <w:rPr>
                <w:b/>
                <w:bCs/>
              </w:rPr>
            </w:pPr>
            <w:r>
              <w:rPr>
                <w:b/>
                <w:bCs/>
              </w:rPr>
              <w:t xml:space="preserve">Observations in SECA areas </w:t>
            </w:r>
            <w:r w:rsidRPr="003E46D6">
              <w:t>(Lithuania, France)</w:t>
            </w:r>
          </w:p>
        </w:tc>
        <w:tc>
          <w:tcPr>
            <w:tcW w:w="2404" w:type="dxa"/>
          </w:tcPr>
          <w:p w14:paraId="7389F114" w14:textId="77777777" w:rsidR="003E46D6" w:rsidRDefault="003E46D6" w:rsidP="003E46D6">
            <w:pPr>
              <w:pStyle w:val="ListParagraph"/>
              <w:spacing w:after="160" w:line="259" w:lineRule="auto"/>
              <w:ind w:left="0"/>
              <w:jc w:val="both"/>
              <w:rPr>
                <w:b/>
                <w:bCs/>
              </w:rPr>
            </w:pPr>
          </w:p>
        </w:tc>
      </w:tr>
      <w:tr w:rsidR="003E46D6" w14:paraId="1D2C3815" w14:textId="77777777" w:rsidTr="003E46D6">
        <w:tc>
          <w:tcPr>
            <w:tcW w:w="7225" w:type="dxa"/>
          </w:tcPr>
          <w:p w14:paraId="20A6C80D" w14:textId="423C4076" w:rsidR="003E46D6" w:rsidRPr="003E46D6" w:rsidRDefault="003E46D6" w:rsidP="003E46D6">
            <w:pPr>
              <w:pStyle w:val="ListParagraph"/>
              <w:numPr>
                <w:ilvl w:val="0"/>
                <w:numId w:val="22"/>
              </w:numPr>
              <w:spacing w:after="160" w:line="259" w:lineRule="auto"/>
              <w:jc w:val="both"/>
            </w:pPr>
            <w:r w:rsidRPr="003E46D6">
              <w:t>Measurements compliant with the limits (&lt;0.1%)</w:t>
            </w:r>
          </w:p>
        </w:tc>
        <w:tc>
          <w:tcPr>
            <w:tcW w:w="2404" w:type="dxa"/>
          </w:tcPr>
          <w:p w14:paraId="39556C65" w14:textId="22E6226F" w:rsidR="003E46D6" w:rsidRPr="003E46D6" w:rsidRDefault="003E46D6" w:rsidP="003E46D6">
            <w:pPr>
              <w:pStyle w:val="ListParagraph"/>
              <w:spacing w:after="160" w:line="259" w:lineRule="auto"/>
              <w:ind w:left="0"/>
              <w:jc w:val="center"/>
            </w:pPr>
            <w:r w:rsidRPr="003E46D6">
              <w:t>72%</w:t>
            </w:r>
          </w:p>
        </w:tc>
      </w:tr>
      <w:tr w:rsidR="003E46D6" w14:paraId="0FC98F98" w14:textId="77777777" w:rsidTr="003E46D6">
        <w:tc>
          <w:tcPr>
            <w:tcW w:w="7225" w:type="dxa"/>
          </w:tcPr>
          <w:p w14:paraId="511DD3E2" w14:textId="1572EDC7" w:rsidR="003E46D6" w:rsidRPr="003E46D6" w:rsidRDefault="003E46D6" w:rsidP="003E46D6">
            <w:pPr>
              <w:pStyle w:val="ListParagraph"/>
              <w:numPr>
                <w:ilvl w:val="0"/>
                <w:numId w:val="22"/>
              </w:numPr>
              <w:spacing w:after="160" w:line="259" w:lineRule="auto"/>
              <w:jc w:val="both"/>
            </w:pPr>
            <w:r w:rsidRPr="003E46D6">
              <w:t>Measurements above the national alert level (</w:t>
            </w:r>
            <w:r w:rsidR="000E0E27">
              <w:t>&gt;</w:t>
            </w:r>
            <w:r w:rsidRPr="003E46D6">
              <w:t>0.13%)</w:t>
            </w:r>
          </w:p>
        </w:tc>
        <w:tc>
          <w:tcPr>
            <w:tcW w:w="2404" w:type="dxa"/>
          </w:tcPr>
          <w:p w14:paraId="005674C0" w14:textId="131D466C" w:rsidR="003E46D6" w:rsidRPr="003E46D6" w:rsidRDefault="003E46D6" w:rsidP="003E46D6">
            <w:pPr>
              <w:pStyle w:val="ListParagraph"/>
              <w:spacing w:after="160" w:line="259" w:lineRule="auto"/>
              <w:ind w:left="0"/>
              <w:jc w:val="center"/>
            </w:pPr>
            <w:r w:rsidRPr="003E46D6">
              <w:t>15%</w:t>
            </w:r>
          </w:p>
        </w:tc>
      </w:tr>
      <w:tr w:rsidR="003E46D6" w14:paraId="193CCC82" w14:textId="77777777" w:rsidTr="003E46D6">
        <w:tc>
          <w:tcPr>
            <w:tcW w:w="7225" w:type="dxa"/>
          </w:tcPr>
          <w:p w14:paraId="299CB074" w14:textId="384B6591" w:rsidR="003E46D6" w:rsidRDefault="003E46D6" w:rsidP="003E46D6">
            <w:pPr>
              <w:pStyle w:val="ListParagraph"/>
              <w:spacing w:after="160" w:line="259" w:lineRule="auto"/>
              <w:ind w:left="0"/>
              <w:jc w:val="both"/>
              <w:rPr>
                <w:b/>
                <w:bCs/>
              </w:rPr>
            </w:pPr>
            <w:r>
              <w:rPr>
                <w:b/>
                <w:bCs/>
              </w:rPr>
              <w:t>Observations in non-SECA areas</w:t>
            </w:r>
            <w:r w:rsidRPr="003E46D6">
              <w:t xml:space="preserve"> (Spain)</w:t>
            </w:r>
          </w:p>
        </w:tc>
        <w:tc>
          <w:tcPr>
            <w:tcW w:w="2404" w:type="dxa"/>
          </w:tcPr>
          <w:p w14:paraId="7B2A1A38" w14:textId="77777777" w:rsidR="003E46D6" w:rsidRDefault="003E46D6" w:rsidP="003E46D6">
            <w:pPr>
              <w:pStyle w:val="ListParagraph"/>
              <w:spacing w:after="160" w:line="259" w:lineRule="auto"/>
              <w:ind w:left="0"/>
              <w:jc w:val="both"/>
              <w:rPr>
                <w:b/>
                <w:bCs/>
              </w:rPr>
            </w:pPr>
          </w:p>
        </w:tc>
      </w:tr>
      <w:tr w:rsidR="003E46D6" w14:paraId="75B33B0D" w14:textId="77777777" w:rsidTr="003E46D6">
        <w:tc>
          <w:tcPr>
            <w:tcW w:w="7225" w:type="dxa"/>
          </w:tcPr>
          <w:p w14:paraId="4C7E5BEF" w14:textId="336FA7E6" w:rsidR="003E46D6" w:rsidRDefault="003E46D6" w:rsidP="003E46D6">
            <w:pPr>
              <w:pStyle w:val="ListParagraph"/>
              <w:numPr>
                <w:ilvl w:val="0"/>
                <w:numId w:val="22"/>
              </w:numPr>
              <w:spacing w:after="160" w:line="259" w:lineRule="auto"/>
              <w:jc w:val="both"/>
              <w:rPr>
                <w:b/>
                <w:bCs/>
              </w:rPr>
            </w:pPr>
            <w:r w:rsidRPr="003E46D6">
              <w:t>Measurements compliant with the limits (&lt;0.</w:t>
            </w:r>
            <w:r>
              <w:t>5</w:t>
            </w:r>
            <w:r w:rsidRPr="003E46D6">
              <w:t>%)</w:t>
            </w:r>
          </w:p>
        </w:tc>
        <w:tc>
          <w:tcPr>
            <w:tcW w:w="2404" w:type="dxa"/>
          </w:tcPr>
          <w:p w14:paraId="2699CF52" w14:textId="2D519751" w:rsidR="003E46D6" w:rsidRDefault="00825367" w:rsidP="003E46D6">
            <w:pPr>
              <w:pStyle w:val="ListParagraph"/>
              <w:spacing w:after="160" w:line="259" w:lineRule="auto"/>
              <w:ind w:left="0"/>
              <w:jc w:val="center"/>
              <w:rPr>
                <w:b/>
                <w:bCs/>
              </w:rPr>
            </w:pPr>
            <w:r>
              <w:t>6</w:t>
            </w:r>
            <w:r w:rsidR="003E46D6" w:rsidRPr="003E46D6">
              <w:t>2%</w:t>
            </w:r>
          </w:p>
        </w:tc>
      </w:tr>
      <w:tr w:rsidR="003E46D6" w14:paraId="736129F1" w14:textId="77777777" w:rsidTr="003E46D6">
        <w:tc>
          <w:tcPr>
            <w:tcW w:w="7225" w:type="dxa"/>
          </w:tcPr>
          <w:p w14:paraId="77ED5FC0" w14:textId="15A2CDC6" w:rsidR="003E46D6" w:rsidRDefault="003E46D6" w:rsidP="003E46D6">
            <w:pPr>
              <w:pStyle w:val="ListParagraph"/>
              <w:numPr>
                <w:ilvl w:val="0"/>
                <w:numId w:val="22"/>
              </w:numPr>
              <w:spacing w:after="160" w:line="259" w:lineRule="auto"/>
              <w:jc w:val="both"/>
              <w:rPr>
                <w:b/>
                <w:bCs/>
              </w:rPr>
            </w:pPr>
            <w:r w:rsidRPr="003E46D6">
              <w:t>Measurements above the national alert level (</w:t>
            </w:r>
            <w:r w:rsidR="000E0E27">
              <w:t>&gt;</w:t>
            </w:r>
            <w:r w:rsidRPr="003E46D6">
              <w:t>0.</w:t>
            </w:r>
            <w:r w:rsidR="00825367">
              <w:t>58</w:t>
            </w:r>
            <w:r w:rsidRPr="003E46D6">
              <w:t>%)</w:t>
            </w:r>
          </w:p>
        </w:tc>
        <w:tc>
          <w:tcPr>
            <w:tcW w:w="2404" w:type="dxa"/>
          </w:tcPr>
          <w:p w14:paraId="687F36AB" w14:textId="1FD3E1F3" w:rsidR="003E46D6" w:rsidRDefault="00825367" w:rsidP="003E46D6">
            <w:pPr>
              <w:pStyle w:val="ListParagraph"/>
              <w:spacing w:after="160" w:line="259" w:lineRule="auto"/>
              <w:ind w:left="0"/>
              <w:jc w:val="center"/>
              <w:rPr>
                <w:b/>
                <w:bCs/>
              </w:rPr>
            </w:pPr>
            <w:r>
              <w:t>9</w:t>
            </w:r>
            <w:r w:rsidR="003E46D6" w:rsidRPr="003E46D6">
              <w:t>%</w:t>
            </w:r>
          </w:p>
        </w:tc>
      </w:tr>
    </w:tbl>
    <w:p w14:paraId="3F529FCB" w14:textId="77777777" w:rsidR="003E46D6" w:rsidRDefault="003E46D6" w:rsidP="003E46D6">
      <w:pPr>
        <w:pStyle w:val="ListParagraph"/>
        <w:spacing w:after="160" w:line="259" w:lineRule="auto"/>
        <w:ind w:left="0"/>
        <w:jc w:val="both"/>
        <w:rPr>
          <w:b/>
          <w:bCs/>
        </w:rPr>
      </w:pPr>
    </w:p>
    <w:p w14:paraId="6DDAAFF8" w14:textId="78CD4FF8" w:rsidR="000E0E27" w:rsidRDefault="00F30BB5" w:rsidP="000E0E27">
      <w:pPr>
        <w:pStyle w:val="ListParagraph"/>
        <w:spacing w:line="259" w:lineRule="auto"/>
        <w:ind w:left="0"/>
        <w:jc w:val="both"/>
      </w:pPr>
      <w:r>
        <w:t xml:space="preserve">In 2022 operations </w:t>
      </w:r>
      <w:r w:rsidR="00EC52EF">
        <w:t>for emission monitoring are</w:t>
      </w:r>
      <w:r>
        <w:t xml:space="preserve"> ongoing in France and Germany. EMSA highlighted that </w:t>
      </w:r>
      <w:r w:rsidR="00365BD6">
        <w:t>user</w:t>
      </w:r>
      <w:r w:rsidR="000E0E27">
        <w:t>s</w:t>
      </w:r>
      <w:r w:rsidR="00365BD6">
        <w:t xml:space="preserve"> already </w:t>
      </w:r>
      <w:r w:rsidR="0062315D">
        <w:t>assumed</w:t>
      </w:r>
      <w:r>
        <w:t xml:space="preserve"> a deterrence effect. </w:t>
      </w:r>
    </w:p>
    <w:p w14:paraId="4FD1301B" w14:textId="7781D9B2" w:rsidR="00F30BB5" w:rsidRDefault="00F30BB5" w:rsidP="003E46D6">
      <w:pPr>
        <w:pStyle w:val="ListParagraph"/>
        <w:spacing w:after="160" w:line="259" w:lineRule="auto"/>
        <w:ind w:left="0"/>
        <w:jc w:val="both"/>
      </w:pPr>
      <w:r>
        <w:t>The following future challenges were mentioned: a harmonised approach</w:t>
      </w:r>
      <w:r w:rsidRPr="000E2520">
        <w:t xml:space="preserve"> </w:t>
      </w:r>
      <w:r>
        <w:t xml:space="preserve">in alerting for non-compliant vessel, developing procedures for NOx and analysing technologies which allowed an </w:t>
      </w:r>
      <w:r w:rsidR="00365BD6">
        <w:t xml:space="preserve">simplified </w:t>
      </w:r>
      <w:r>
        <w:t>procedure to measure the plumes</w:t>
      </w:r>
      <w:r w:rsidR="00365BD6">
        <w:t>, e.g. with remote sensors.</w:t>
      </w:r>
    </w:p>
    <w:p w14:paraId="0C26A1E2" w14:textId="37D7B54C" w:rsidR="00F30BB5" w:rsidRDefault="00F30BB5" w:rsidP="00F30BB5">
      <w:pPr>
        <w:pStyle w:val="ListParagraph"/>
        <w:numPr>
          <w:ilvl w:val="0"/>
          <w:numId w:val="17"/>
        </w:numPr>
        <w:spacing w:after="160" w:line="259" w:lineRule="auto"/>
        <w:ind w:left="0" w:firstLine="0"/>
        <w:jc w:val="both"/>
      </w:pPr>
      <w:r>
        <w:t xml:space="preserve">EMSA confirmed that 1 sigma </w:t>
      </w:r>
      <w:r w:rsidR="00365BD6">
        <w:t xml:space="preserve">for the alerting level </w:t>
      </w:r>
      <w:r>
        <w:t xml:space="preserve">was used </w:t>
      </w:r>
      <w:r w:rsidR="00365BD6">
        <w:t xml:space="preserve">recently </w:t>
      </w:r>
      <w:r>
        <w:t>as agreed by MS</w:t>
      </w:r>
      <w:r w:rsidR="00365BD6">
        <w:t>. However this can differ from MS to MS</w:t>
      </w:r>
      <w:r>
        <w:t xml:space="preserve">. Denmark and Germany supported changing this level to 2 sigma. The Netherlands highlighted that data was reported to trigger alerts and that the uncertainty of the instruments needed to be addressed, but different instruments had different uncertainties. EMSA clarified that THETIS-EU showed the reported value and the uncertainty for information purposes as an aid to help triggering ships for inspection. MS were free to use the data as they might consider appropriate. </w:t>
      </w:r>
    </w:p>
    <w:p w14:paraId="411D1BFD" w14:textId="0C7FFAC7" w:rsidR="00F30BB5" w:rsidRDefault="00761A76" w:rsidP="00F30BB5">
      <w:pPr>
        <w:pStyle w:val="ListParagraph"/>
        <w:numPr>
          <w:ilvl w:val="0"/>
          <w:numId w:val="17"/>
        </w:numPr>
        <w:spacing w:after="160" w:line="259" w:lineRule="auto"/>
        <w:ind w:left="0" w:firstLine="0"/>
        <w:jc w:val="both"/>
      </w:pPr>
      <w:r>
        <w:t>France also mentioned that there was a case with a discrepancy between high values measured at sea (</w:t>
      </w:r>
      <w:r w:rsidR="0062315D">
        <w:t xml:space="preserve">more than </w:t>
      </w:r>
      <w:r>
        <w:t xml:space="preserve">2 sigma above threshold) that resulted in compliance vessels when inspected in ports; but it was reassuring to know rarely non-compliances cases in port corresponded to low values measured at sea. France also reported, that a sample taken on a ferry at the moment of the measurement </w:t>
      </w:r>
      <w:r w:rsidR="001B2C00">
        <w:t xml:space="preserve">taken </w:t>
      </w:r>
      <w:r>
        <w:t>at sea show</w:t>
      </w:r>
      <w:r w:rsidR="001B2C00">
        <w:t>ed</w:t>
      </w:r>
      <w:r>
        <w:t xml:space="preserve"> perfect </w:t>
      </w:r>
      <w:r w:rsidR="001B2C00">
        <w:t xml:space="preserve">alignment of observed vales. </w:t>
      </w:r>
      <w:r w:rsidR="00F30BB5">
        <w:t xml:space="preserve">On the correlation between port sample and values measured, EMSA clarified that this was not an easy issue as </w:t>
      </w:r>
      <w:r w:rsidR="00365BD6">
        <w:t>it is not precisely known if the samples are representing the fuel, which was actually burnt while taking the measurement and samples</w:t>
      </w:r>
      <w:r w:rsidR="00F30BB5">
        <w:t xml:space="preserve"> were taken one or two days after the measurements and therefore</w:t>
      </w:r>
      <w:r w:rsidR="00365BD6">
        <w:t xml:space="preserve"> might</w:t>
      </w:r>
      <w:r w:rsidR="00F30BB5">
        <w:t xml:space="preserve"> not be representative. </w:t>
      </w:r>
    </w:p>
    <w:p w14:paraId="3B40BD00" w14:textId="38564721" w:rsidR="00B15B14" w:rsidRPr="00B15B14" w:rsidRDefault="00F30BB5" w:rsidP="00B15B14">
      <w:pPr>
        <w:pStyle w:val="ListParagraph"/>
        <w:numPr>
          <w:ilvl w:val="0"/>
          <w:numId w:val="17"/>
        </w:numPr>
        <w:spacing w:after="160" w:line="259" w:lineRule="auto"/>
        <w:ind w:left="0" w:firstLine="0"/>
        <w:jc w:val="both"/>
        <w:rPr>
          <w:lang w:val="en-US"/>
        </w:rPr>
      </w:pPr>
      <w:r w:rsidRPr="00664BBD">
        <w:rPr>
          <w:b/>
          <w:bCs/>
        </w:rPr>
        <w:lastRenderedPageBreak/>
        <w:t>ILT</w:t>
      </w:r>
      <w:r>
        <w:rPr>
          <w:b/>
          <w:bCs/>
        </w:rPr>
        <w:t xml:space="preserve"> </w:t>
      </w:r>
      <w:r w:rsidRPr="00664BBD">
        <w:rPr>
          <w:b/>
          <w:bCs/>
        </w:rPr>
        <w:t>(the Netherlands)</w:t>
      </w:r>
      <w:r>
        <w:t xml:space="preserve"> presented their experiences as end-user</w:t>
      </w:r>
      <w:r w:rsidR="00477164">
        <w:t xml:space="preserve"> of the EMSA RPAS Siebel Camcopter S100, an unmanned aircraft and beyond visual line of sight (BVLOS)</w:t>
      </w:r>
      <w:r>
        <w:t xml:space="preserve"> (p0904_02). </w:t>
      </w:r>
      <w:r w:rsidR="006C6A57">
        <w:t xml:space="preserve">There was a good cooperation between EMSA, Siebel and ILT. </w:t>
      </w:r>
      <w:r>
        <w:t>The main challenge was to choose a temporary airport for the RPAS considering the legislation for civil aviation and the obstacles.</w:t>
      </w:r>
      <w:r w:rsidR="006C6A57">
        <w:t xml:space="preserve"> The marine base, Den Helder, was not the appropriate location because for BVLOS flights, there was a requirement of having no obstacles between the antenna and the RPAS to avoid the risk of losing connection. The Maasvlakte Fire Station within Rotterdam port</w:t>
      </w:r>
      <w:r w:rsidR="00B15B14">
        <w:t xml:space="preserve"> was also not suitable. According to the national legislation there was a limit of 150 kg</w:t>
      </w:r>
      <w:r w:rsidR="00B15B14" w:rsidRPr="00B15B14">
        <w:rPr>
          <w:lang w:val="en-US"/>
        </w:rPr>
        <w:t xml:space="preserve"> for unmanned aircrafts. The Siebel </w:t>
      </w:r>
      <w:r w:rsidR="00B15B14">
        <w:rPr>
          <w:lang w:val="en-US"/>
        </w:rPr>
        <w:t>C</w:t>
      </w:r>
      <w:r w:rsidR="00B15B14" w:rsidRPr="00B15B14">
        <w:rPr>
          <w:lang w:val="en-US"/>
        </w:rPr>
        <w:t xml:space="preserve">amcopter </w:t>
      </w:r>
      <w:r w:rsidR="00B15B14">
        <w:rPr>
          <w:lang w:val="en-US"/>
        </w:rPr>
        <w:t xml:space="preserve">could fly but not </w:t>
      </w:r>
      <w:r w:rsidR="00B15B14" w:rsidRPr="00B15B14">
        <w:rPr>
          <w:lang w:val="en-US"/>
        </w:rPr>
        <w:t xml:space="preserve">take off </w:t>
      </w:r>
      <w:r w:rsidR="00B15B14">
        <w:rPr>
          <w:lang w:val="en-US"/>
        </w:rPr>
        <w:t>or</w:t>
      </w:r>
      <w:r w:rsidR="00B15B14" w:rsidRPr="00B15B14">
        <w:rPr>
          <w:lang w:val="en-US"/>
        </w:rPr>
        <w:t xml:space="preserve"> land.</w:t>
      </w:r>
      <w:r w:rsidR="00B15B14">
        <w:rPr>
          <w:lang w:val="en-US"/>
        </w:rPr>
        <w:t xml:space="preserve"> There was an intention to adapt the Dutch legislation to the new developments. Drilling platforms at sea were not suitable to place the whole crew and materials for a few months. </w:t>
      </w:r>
      <w:r w:rsidR="00B15B14">
        <w:t>The heliport at the Pistoolhaven</w:t>
      </w:r>
      <w:r w:rsidR="00B15B14" w:rsidRPr="00B15B14">
        <w:rPr>
          <w:rFonts w:ascii="Verdana" w:eastAsiaTheme="minorHAnsi" w:hAnsi="Verdana" w:cstheme="minorBidi"/>
          <w:sz w:val="18"/>
          <w:lang w:val="en-US"/>
        </w:rPr>
        <w:t xml:space="preserve"> </w:t>
      </w:r>
      <w:r w:rsidR="00B15B14">
        <w:rPr>
          <w:rFonts w:ascii="Verdana" w:eastAsiaTheme="minorHAnsi" w:hAnsi="Verdana" w:cstheme="minorBidi"/>
          <w:sz w:val="18"/>
          <w:lang w:val="en-US"/>
        </w:rPr>
        <w:t xml:space="preserve">nearby the fire station seemed to be </w:t>
      </w:r>
      <w:r w:rsidR="00982FAF">
        <w:rPr>
          <w:rFonts w:ascii="Verdana" w:eastAsiaTheme="minorHAnsi" w:hAnsi="Verdana" w:cstheme="minorBidi"/>
          <w:sz w:val="18"/>
          <w:lang w:val="en-US"/>
        </w:rPr>
        <w:t>a feasible option but large ships were o</w:t>
      </w:r>
      <w:r w:rsidR="00B15B14" w:rsidRPr="00B15B14">
        <w:rPr>
          <w:lang w:val="en-US"/>
        </w:rPr>
        <w:t xml:space="preserve">bstacles between the antenna and the RPAS in the narrow space in the harbor. </w:t>
      </w:r>
      <w:r w:rsidR="00982FAF">
        <w:rPr>
          <w:lang w:val="en-US"/>
        </w:rPr>
        <w:t xml:space="preserve">Finally, it was considered flying the RPAS from a Dutch coastguard ship, The Gardian. This option did not work because the </w:t>
      </w:r>
      <w:r w:rsidR="00982FAF" w:rsidRPr="00982FAF">
        <w:rPr>
          <w:lang w:val="en-US"/>
        </w:rPr>
        <w:t xml:space="preserve">helideck on a ship </w:t>
      </w:r>
      <w:r w:rsidR="00982FAF">
        <w:rPr>
          <w:lang w:val="en-US"/>
        </w:rPr>
        <w:t>could not be used</w:t>
      </w:r>
      <w:r w:rsidR="00982FAF" w:rsidRPr="00982FAF">
        <w:rPr>
          <w:lang w:val="en-US"/>
        </w:rPr>
        <w:t xml:space="preserve"> as an airport</w:t>
      </w:r>
      <w:r w:rsidR="00982FAF">
        <w:rPr>
          <w:lang w:val="en-US"/>
        </w:rPr>
        <w:t xml:space="preserve"> for civil purposes, only for Defense reasons operated by the armed forces. Smaller drones could be used but there were limitations related to bad weather and smaller ranges. The Netherlands decided to wait for </w:t>
      </w:r>
      <w:r w:rsidR="0040789B">
        <w:rPr>
          <w:lang w:val="en-US"/>
        </w:rPr>
        <w:t>a change in the national legislation; meanwhile the inspections would be based on alerts from other countries and data from the fixed station.</w:t>
      </w:r>
    </w:p>
    <w:p w14:paraId="49104D81" w14:textId="77777777" w:rsidR="00F30BB5" w:rsidRDefault="00F30BB5" w:rsidP="00F30BB5">
      <w:pPr>
        <w:pStyle w:val="ListParagraph"/>
        <w:numPr>
          <w:ilvl w:val="0"/>
          <w:numId w:val="17"/>
        </w:numPr>
        <w:spacing w:after="160" w:line="259" w:lineRule="auto"/>
        <w:ind w:left="0" w:firstLine="0"/>
        <w:jc w:val="both"/>
      </w:pPr>
      <w:r w:rsidRPr="00664BBD">
        <w:rPr>
          <w:b/>
          <w:bCs/>
        </w:rPr>
        <w:t>DGITM (France)</w:t>
      </w:r>
      <w:r>
        <w:t xml:space="preserve"> presented their experiences from France as end-user (p0904_03). France supported a harmonised approach on NOx monitoring and sharing the results in THETIS-EU, in order to carry out multipurpose missions. </w:t>
      </w:r>
    </w:p>
    <w:p w14:paraId="56C0C34D" w14:textId="5D7FB847" w:rsidR="00320A55" w:rsidRDefault="00320A55" w:rsidP="00320A55">
      <w:pPr>
        <w:tabs>
          <w:tab w:val="clear" w:pos="1134"/>
          <w:tab w:val="clear" w:pos="1701"/>
          <w:tab w:val="clear" w:pos="2268"/>
        </w:tabs>
        <w:spacing w:before="120" w:after="0" w:line="280" w:lineRule="atLeast"/>
        <w:rPr>
          <w:b/>
          <w:bCs/>
          <w:lang w:val="en-US"/>
        </w:rPr>
      </w:pPr>
      <w:r w:rsidRPr="00320A55">
        <w:rPr>
          <w:b/>
          <w:bCs/>
          <w:lang w:val="en-US"/>
        </w:rPr>
        <w:t>SOWG Action 9.6: Exchange information on the use of Thetis EU database by CPs to improve reporting of compliant and non-compliant measurements and encourage CPs to submit this data.</w:t>
      </w:r>
    </w:p>
    <w:p w14:paraId="533DF688" w14:textId="77777777" w:rsidR="00F30BB5" w:rsidRPr="00F30BB5" w:rsidRDefault="00F30BB5" w:rsidP="00F30BB5">
      <w:pPr>
        <w:pStyle w:val="ListParagraph"/>
        <w:spacing w:after="160" w:line="259" w:lineRule="auto"/>
        <w:ind w:left="0"/>
        <w:jc w:val="both"/>
      </w:pPr>
    </w:p>
    <w:p w14:paraId="6D9CBF87" w14:textId="44FBBC83" w:rsidR="00F30BB5" w:rsidRDefault="00F30BB5" w:rsidP="00F30BB5">
      <w:pPr>
        <w:pStyle w:val="ListParagraph"/>
        <w:numPr>
          <w:ilvl w:val="0"/>
          <w:numId w:val="17"/>
        </w:numPr>
        <w:spacing w:after="160" w:line="259" w:lineRule="auto"/>
        <w:ind w:left="0" w:firstLine="0"/>
        <w:jc w:val="both"/>
      </w:pPr>
      <w:r w:rsidRPr="009309B8">
        <w:rPr>
          <w:b/>
          <w:bCs/>
        </w:rPr>
        <w:t>RBINS (Belgium)</w:t>
      </w:r>
      <w:r>
        <w:t xml:space="preserve"> gave a presentation on </w:t>
      </w:r>
      <w:r w:rsidR="005D610C">
        <w:t>the system that they developed for automatic data</w:t>
      </w:r>
      <w:r w:rsidR="00A70E38">
        <w:t xml:space="preserve"> </w:t>
      </w:r>
      <w:r w:rsidR="005D610C">
        <w:t>streaming of monitoring data to the</w:t>
      </w:r>
      <w:r>
        <w:t xml:space="preserve"> EMSA </w:t>
      </w:r>
      <w:r w:rsidR="005D610C">
        <w:t>Thetis-EU service</w:t>
      </w:r>
      <w:r>
        <w:t xml:space="preserve"> (p0906_01).</w:t>
      </w:r>
      <w:r w:rsidR="005D610C">
        <w:t xml:space="preserve"> The system that was designed is currently a very basic service. Monitoring data from the airborne monitoring operation are stored on a cloud service in CSV format (CSV files are automatically generated from an Excel Macro). The system will check every minute for new CSV files, as soon as a new CSV file is detected the system will first import the data in a MySQL database. After the data is checked and accepted in this internal database, the data is send to the Thetis-EU API. Thetis-EU works with clearly defined attributes and the data</w:t>
      </w:r>
      <w:r w:rsidR="00A70E38">
        <w:t xml:space="preserve"> </w:t>
      </w:r>
      <w:r w:rsidR="005D610C">
        <w:t>format is very strict, errors in the data</w:t>
      </w:r>
      <w:r w:rsidR="00A70E38">
        <w:t xml:space="preserve"> </w:t>
      </w:r>
      <w:r w:rsidR="005D610C">
        <w:t xml:space="preserve">format will result in errors during uploading. The system has been tested during 6 months on a Thetis-EU test database. Afterwards the system went in operations. Some errors were received, mostly due to </w:t>
      </w:r>
      <w:r w:rsidR="003B7762">
        <w:t xml:space="preserve">incorrect IMO numbers (IMO number not known by Thetis-EU). Also some certification issues had to be solved before the system could go in full operation. </w:t>
      </w:r>
    </w:p>
    <w:p w14:paraId="2A8E35A8" w14:textId="59EDCCB6" w:rsidR="003B7762" w:rsidRDefault="003B7762" w:rsidP="00F30BB5">
      <w:pPr>
        <w:pStyle w:val="ListParagraph"/>
        <w:numPr>
          <w:ilvl w:val="0"/>
          <w:numId w:val="17"/>
        </w:numPr>
        <w:spacing w:after="160" w:line="259" w:lineRule="auto"/>
        <w:ind w:left="0" w:firstLine="0"/>
        <w:jc w:val="both"/>
      </w:pPr>
      <w:r>
        <w:t xml:space="preserve">MUMM </w:t>
      </w:r>
      <w:r w:rsidR="00275480">
        <w:t>clarified</w:t>
      </w:r>
      <w:r>
        <w:t xml:space="preserve"> that t</w:t>
      </w:r>
      <w:r w:rsidRPr="003B7762">
        <w:t xml:space="preserve">he </w:t>
      </w:r>
      <w:r>
        <w:t xml:space="preserve">measurement data provided to EMSA </w:t>
      </w:r>
      <w:r w:rsidR="00275480">
        <w:t>wa</w:t>
      </w:r>
      <w:r>
        <w:t xml:space="preserve">s accompanied with an uncertainty. As soon as the FSC value minus the uncertainty &gt;0.1% an alert </w:t>
      </w:r>
      <w:r w:rsidR="00275480">
        <w:t>wa</w:t>
      </w:r>
      <w:r>
        <w:t xml:space="preserve">s automatically created. In a comment window the used sigma and confidence interval </w:t>
      </w:r>
      <w:r w:rsidR="00275480">
        <w:t>we</w:t>
      </w:r>
      <w:r>
        <w:t xml:space="preserve">re provided. For yellow alerts a CI of 68% (1 sigma) </w:t>
      </w:r>
      <w:r w:rsidR="00275480">
        <w:t>wa</w:t>
      </w:r>
      <w:r>
        <w:t xml:space="preserve">s used, for orange alerts a CI of 95% </w:t>
      </w:r>
      <w:r w:rsidR="00275480">
        <w:t>wa</w:t>
      </w:r>
      <w:r>
        <w:t>s used (2 sigma) and red alerts have a CI of 99%.</w:t>
      </w:r>
    </w:p>
    <w:p w14:paraId="72A950DD" w14:textId="16B9E619" w:rsidR="003B7762" w:rsidRPr="003B7762" w:rsidRDefault="003B7762" w:rsidP="00F30BB5">
      <w:pPr>
        <w:pStyle w:val="ListParagraph"/>
        <w:numPr>
          <w:ilvl w:val="0"/>
          <w:numId w:val="17"/>
        </w:numPr>
        <w:spacing w:after="160" w:line="259" w:lineRule="auto"/>
        <w:ind w:left="0" w:firstLine="0"/>
        <w:jc w:val="both"/>
      </w:pPr>
      <w:r>
        <w:t xml:space="preserve">The big advantage of sending all monitoring data to Thetis-EU </w:t>
      </w:r>
      <w:r w:rsidR="00275480">
        <w:t>wa</w:t>
      </w:r>
      <w:r>
        <w:t xml:space="preserve">s that information for </w:t>
      </w:r>
      <w:r w:rsidRPr="003B7762">
        <w:rPr>
          <w:u w:val="single"/>
        </w:rPr>
        <w:t>compliant</w:t>
      </w:r>
      <w:r>
        <w:t xml:space="preserve"> ships </w:t>
      </w:r>
      <w:r w:rsidR="00275480">
        <w:t>wa</w:t>
      </w:r>
      <w:r>
        <w:t xml:space="preserve">s also shared. This </w:t>
      </w:r>
      <w:r w:rsidR="00275480">
        <w:t>wa</w:t>
      </w:r>
      <w:r>
        <w:t>s important information for PSC officers who c</w:t>
      </w:r>
      <w:r w:rsidR="00275480">
        <w:t>ould</w:t>
      </w:r>
      <w:r>
        <w:t xml:space="preserve"> use this information to focus on more suspect ships or ships with no information. Improving the efficiency of PSC inspections and reducing time loss for inspection of compliant ships.</w:t>
      </w:r>
    </w:p>
    <w:p w14:paraId="1B3E81D2" w14:textId="022DFE7F" w:rsidR="00320A55" w:rsidRDefault="00320A55" w:rsidP="0070364E">
      <w:pPr>
        <w:keepNext/>
        <w:spacing w:before="120"/>
        <w:rPr>
          <w:rFonts w:asciiTheme="minorHAnsi" w:hAnsiTheme="minorHAnsi" w:cstheme="minorHAnsi"/>
          <w:b/>
        </w:rPr>
      </w:pPr>
      <w:r w:rsidRPr="00320A55">
        <w:rPr>
          <w:rFonts w:asciiTheme="minorHAnsi" w:hAnsiTheme="minorHAnsi" w:cstheme="minorHAnsi"/>
          <w:b/>
        </w:rPr>
        <w:t>TWG Action 9.3: Sharing best practices on NOx measurements and reporting</w:t>
      </w:r>
    </w:p>
    <w:p w14:paraId="5951A739" w14:textId="7B1B1184" w:rsidR="009A52AF" w:rsidRDefault="009A52AF" w:rsidP="009A52AF">
      <w:pPr>
        <w:pStyle w:val="ListParagraph"/>
        <w:numPr>
          <w:ilvl w:val="0"/>
          <w:numId w:val="17"/>
        </w:numPr>
        <w:spacing w:after="160" w:line="259" w:lineRule="auto"/>
        <w:ind w:left="0" w:firstLine="0"/>
        <w:jc w:val="both"/>
      </w:pPr>
      <w:r w:rsidRPr="009309B8">
        <w:rPr>
          <w:b/>
          <w:bCs/>
        </w:rPr>
        <w:t>MUMM (Belgium)</w:t>
      </w:r>
      <w:r>
        <w:t xml:space="preserve"> gave a presentation on </w:t>
      </w:r>
      <w:r w:rsidRPr="00CC3BD1">
        <w:t>NOx measurement methodology</w:t>
      </w:r>
      <w:r>
        <w:t xml:space="preserve"> for airborne compliance monitoring (p0903_01). The NOx sensor was installed in 2020 in the Belgian aircraft. A standard SFC value of 0.2 kg/kWh was considered, and ships were contacted when exceeding the NOx limit and requested to report some engine parameters (a.o. fuel consumption, power of the main engine and RPM) in order to calculate </w:t>
      </w:r>
      <w:r>
        <w:lastRenderedPageBreak/>
        <w:t>the exact engine consumption to correct the measurement. NOx measurement was dependant on the vessel engine load, ships sailing with an engine load under 25% are considered to be off cycle, no limits are in place for this engine loads and can therefore not be reporting when breaching a thre</w:t>
      </w:r>
      <w:r w:rsidR="00F93368">
        <w:t>s</w:t>
      </w:r>
      <w:r>
        <w:t>hold.  A minimum speed of 10 knots</w:t>
      </w:r>
      <w:r w:rsidRPr="00E14B07">
        <w:t xml:space="preserve"> </w:t>
      </w:r>
      <w:r>
        <w:t xml:space="preserve">was used </w:t>
      </w:r>
      <w:r w:rsidR="00F93368">
        <w:t>as threshold</w:t>
      </w:r>
      <w:r w:rsidR="00BD029B">
        <w:t xml:space="preserve">, </w:t>
      </w:r>
      <w:r w:rsidR="00F93368">
        <w:t>ships sailing lower than this speed were assumed to have a low engine load</w:t>
      </w:r>
      <w:r w:rsidR="00BD029B">
        <w:t>. I</w:t>
      </w:r>
      <w:r>
        <w:t>n case of violations, communication with the vessel</w:t>
      </w:r>
      <w:r w:rsidR="00F93368">
        <w:t xml:space="preserve"> was done to acquire</w:t>
      </w:r>
      <w:r>
        <w:t xml:space="preserve"> the </w:t>
      </w:r>
      <w:r w:rsidR="00BD029B">
        <w:t xml:space="preserve">actual </w:t>
      </w:r>
      <w:r>
        <w:t>engine load. There was a negative bias due to</w:t>
      </w:r>
      <w:r w:rsidR="00F93368">
        <w:t xml:space="preserve"> the difference between Brake power and Engine indicated power (10-25%)</w:t>
      </w:r>
      <w:r>
        <w:t xml:space="preserve"> temperature and humidity. </w:t>
      </w:r>
      <w:r w:rsidR="00BD029B">
        <w:t xml:space="preserve">At first it was assumed that most ships have an RPM &lt;130, analysis has showed that certain ship types (ROROs, passenger ships, ships &lt;160m) have often higher RPMS, therefore </w:t>
      </w:r>
      <w:r>
        <w:t xml:space="preserve">Belgium </w:t>
      </w:r>
      <w:r w:rsidR="00BD029B">
        <w:t>will be using</w:t>
      </w:r>
      <w:r>
        <w:t xml:space="preserve"> 2 threshold lists for 130 and 500 RPM. For the 2020-2021 period 38 violations were detected. </w:t>
      </w:r>
    </w:p>
    <w:p w14:paraId="2C8924E7" w14:textId="77777777" w:rsidR="009A52AF" w:rsidRDefault="009A52AF" w:rsidP="009A52AF">
      <w:pPr>
        <w:pStyle w:val="ListParagraph"/>
        <w:numPr>
          <w:ilvl w:val="0"/>
          <w:numId w:val="17"/>
        </w:numPr>
        <w:spacing w:after="160" w:line="259" w:lineRule="auto"/>
        <w:ind w:left="0" w:firstLine="0"/>
        <w:jc w:val="both"/>
      </w:pPr>
      <w:r w:rsidRPr="00366618">
        <w:rPr>
          <w:b/>
          <w:bCs/>
        </w:rPr>
        <w:t>Explicit (Denmark)</w:t>
      </w:r>
      <w:r>
        <w:t xml:space="preserve"> gave a presentation on r</w:t>
      </w:r>
      <w:r w:rsidRPr="00CC3BD1">
        <w:t>eanalysing historic NOx data to assess general NOx compliance</w:t>
      </w:r>
      <w:r>
        <w:t xml:space="preserve"> (p0903_02). A study based in 2,249 observations on NOx emission factors adjusted for engine load and assumptions on SFC was available in mst.dk. It was suggested that further guidance on how the NOx technical code can be interpreted under operational conditions was needed.</w:t>
      </w:r>
    </w:p>
    <w:p w14:paraId="24597AAD" w14:textId="77777777" w:rsidR="009A52AF" w:rsidRPr="00104903" w:rsidRDefault="009A52AF" w:rsidP="009A52AF">
      <w:pPr>
        <w:pStyle w:val="ListParagraph"/>
        <w:numPr>
          <w:ilvl w:val="0"/>
          <w:numId w:val="17"/>
        </w:numPr>
        <w:spacing w:after="160" w:line="259" w:lineRule="auto"/>
        <w:ind w:left="0" w:firstLine="0"/>
        <w:jc w:val="both"/>
      </w:pPr>
      <w:r>
        <w:t xml:space="preserve">Belgium was developing technical guidance to endorse the NOx monitoring methodology for its use as evidence in court and impose administrative fines for red flags cases. </w:t>
      </w:r>
    </w:p>
    <w:p w14:paraId="1E71D1D9" w14:textId="77777777" w:rsidR="009A52AF" w:rsidRDefault="009A52AF" w:rsidP="009A52AF">
      <w:pPr>
        <w:keepNext/>
        <w:spacing w:before="120"/>
        <w:rPr>
          <w:rFonts w:asciiTheme="minorHAnsi" w:hAnsiTheme="minorHAnsi" w:cstheme="minorHAnsi"/>
          <w:b/>
        </w:rPr>
      </w:pPr>
      <w:r>
        <w:rPr>
          <w:rFonts w:asciiTheme="minorHAnsi" w:hAnsiTheme="minorHAnsi" w:cstheme="minorHAnsi"/>
          <w:b/>
        </w:rPr>
        <w:t>Views of MAVI TWG technical experts on way ahead with MAVI-SOWG</w:t>
      </w:r>
    </w:p>
    <w:p w14:paraId="4D757558" w14:textId="77777777" w:rsidR="009A52AF" w:rsidRDefault="009A52AF" w:rsidP="009A52AF">
      <w:pPr>
        <w:pStyle w:val="ListParagraph"/>
        <w:numPr>
          <w:ilvl w:val="0"/>
          <w:numId w:val="17"/>
        </w:numPr>
        <w:spacing w:after="160" w:line="259" w:lineRule="auto"/>
        <w:ind w:left="0" w:firstLine="0"/>
        <w:jc w:val="both"/>
      </w:pPr>
      <w:r>
        <w:t>It was considered appropriate to include external experts (universities, companies…) as participants of MAVI WGs when</w:t>
      </w:r>
      <w:r w:rsidRPr="00915291">
        <w:t xml:space="preserve"> </w:t>
      </w:r>
      <w:r>
        <w:t>invited by Contracting Parties and Co-convenors. For MAVI TWG, the experts were necessary to give the technical knowledge to the group.</w:t>
      </w:r>
    </w:p>
    <w:p w14:paraId="2E23874A" w14:textId="77777777" w:rsidR="009A52AF" w:rsidRDefault="009A52AF" w:rsidP="009A52AF">
      <w:pPr>
        <w:pStyle w:val="ListParagraph"/>
        <w:numPr>
          <w:ilvl w:val="0"/>
          <w:numId w:val="17"/>
        </w:numPr>
        <w:spacing w:after="160" w:line="259" w:lineRule="auto"/>
        <w:ind w:left="0" w:firstLine="0"/>
        <w:jc w:val="both"/>
      </w:pPr>
      <w:r>
        <w:t xml:space="preserve">Some Contracting Parties preferred to merge both MAVI WGs; others supported keeping them separated so that MAVI TWG could focus on the technical details. There was a lack of resources to take up the leading role for MAVI SOWG, but there could be some nominations at OTSOPA or BONN 2022. The decision of keeping both MAVI WGs needed to be agreed at OTSOPA level. </w:t>
      </w:r>
    </w:p>
    <w:p w14:paraId="4A38BC07" w14:textId="4560CF6B" w:rsidR="00681FF0" w:rsidRPr="00681FF0" w:rsidRDefault="0070364E" w:rsidP="00681FF0">
      <w:pPr>
        <w:tabs>
          <w:tab w:val="clear" w:pos="1134"/>
          <w:tab w:val="clear" w:pos="1701"/>
          <w:tab w:val="clear" w:pos="2268"/>
        </w:tabs>
        <w:spacing w:before="120" w:after="0" w:line="280" w:lineRule="atLeast"/>
        <w:rPr>
          <w:b/>
          <w:bCs/>
          <w:lang w:val="en-US"/>
        </w:rPr>
      </w:pPr>
      <w:r>
        <w:rPr>
          <w:b/>
          <w:bCs/>
          <w:lang w:val="en-US"/>
        </w:rPr>
        <w:t>Views of MAVI TWG on</w:t>
      </w:r>
      <w:r w:rsidR="00681FF0">
        <w:rPr>
          <w:b/>
          <w:bCs/>
          <w:lang w:val="en-US"/>
        </w:rPr>
        <w:t xml:space="preserve"> project outline </w:t>
      </w:r>
    </w:p>
    <w:p w14:paraId="0C5325AB" w14:textId="375F30CE" w:rsidR="009A52AF" w:rsidRDefault="009A52AF" w:rsidP="009A52AF">
      <w:pPr>
        <w:pStyle w:val="ListParagraph"/>
        <w:numPr>
          <w:ilvl w:val="0"/>
          <w:numId w:val="17"/>
        </w:numPr>
        <w:spacing w:after="160" w:line="259" w:lineRule="auto"/>
        <w:ind w:left="0" w:firstLine="0"/>
        <w:jc w:val="both"/>
      </w:pPr>
      <w:r>
        <w:t xml:space="preserve">There were some discussions about whether MAVI TWG could develop a project proposal on its own considering only the technical side and in line with the SCIPPER project. France supported waiting to the outcome of the ongoing projects on technical issues. EMSA was expecting the outcomes of the MAVI TWG in regard to quick wins such as the harmonisation of the alerts reporting. </w:t>
      </w:r>
    </w:p>
    <w:p w14:paraId="06B0A719" w14:textId="77777777" w:rsidR="009A52AF" w:rsidRDefault="009A52AF" w:rsidP="009A52AF">
      <w:pPr>
        <w:rPr>
          <w:b/>
          <w:bCs/>
          <w:sz w:val="24"/>
          <w:szCs w:val="24"/>
        </w:rPr>
      </w:pPr>
      <w:r>
        <w:rPr>
          <w:b/>
          <w:bCs/>
          <w:sz w:val="24"/>
          <w:szCs w:val="24"/>
        </w:rPr>
        <w:t>Way forward with TWG</w:t>
      </w:r>
    </w:p>
    <w:p w14:paraId="42071218" w14:textId="77777777" w:rsidR="009A52AF" w:rsidRDefault="009A52AF" w:rsidP="009A52AF">
      <w:pPr>
        <w:pStyle w:val="ListParagraph"/>
        <w:numPr>
          <w:ilvl w:val="0"/>
          <w:numId w:val="17"/>
        </w:numPr>
        <w:spacing w:after="160" w:line="259" w:lineRule="auto"/>
        <w:ind w:left="0" w:firstLine="0"/>
        <w:jc w:val="both"/>
      </w:pPr>
      <w:r>
        <w:t>While no activity was ongoing for the MAVI SOWG, the frequency of the meetings of the MAVI TWG should be lower, probably twice a year. The ToR needed to be updated to reflect that. The meetings should focus on the quick win actions and have just 1 or 2 presentations for inspiration leaving enough time for discussions. It was suggested to have intersessional work to achieve the quick win actions. The next meeting would be organised after the summer.</w:t>
      </w:r>
    </w:p>
    <w:p w14:paraId="59E02322" w14:textId="77777777" w:rsidR="009A52AF" w:rsidRDefault="009A52AF" w:rsidP="009A52AF">
      <w:pPr>
        <w:pStyle w:val="ListParagraph"/>
        <w:spacing w:after="160" w:line="259" w:lineRule="auto"/>
        <w:ind w:left="0"/>
        <w:jc w:val="both"/>
      </w:pPr>
    </w:p>
    <w:p w14:paraId="7832CCEC" w14:textId="77777777" w:rsidR="00C671A3" w:rsidRDefault="00C671A3" w:rsidP="00D6755F">
      <w:pPr>
        <w:keepNext/>
        <w:spacing w:before="120"/>
        <w:rPr>
          <w:rFonts w:asciiTheme="minorHAnsi" w:hAnsiTheme="minorHAnsi" w:cstheme="minorHAnsi"/>
          <w:b/>
        </w:rPr>
      </w:pPr>
    </w:p>
    <w:p w14:paraId="6CF3E78F" w14:textId="77777777" w:rsidR="004E28F0" w:rsidRPr="004E28F0" w:rsidRDefault="004E28F0" w:rsidP="004E28F0">
      <w:pPr>
        <w:tabs>
          <w:tab w:val="clear" w:pos="1134"/>
          <w:tab w:val="clear" w:pos="1701"/>
          <w:tab w:val="clear" w:pos="2268"/>
        </w:tabs>
        <w:spacing w:before="120" w:after="0" w:line="280" w:lineRule="atLeast"/>
        <w:rPr>
          <w:rFonts w:asciiTheme="minorHAnsi" w:hAnsiTheme="minorHAnsi" w:cstheme="minorHAnsi"/>
          <w:b/>
        </w:rPr>
      </w:pPr>
    </w:p>
    <w:bookmarkEnd w:id="0"/>
    <w:p w14:paraId="16E264ED" w14:textId="7C3900A2" w:rsidR="00EE5B90" w:rsidRDefault="00EE5B90" w:rsidP="00DD671F">
      <w:pPr>
        <w:tabs>
          <w:tab w:val="clear" w:pos="567"/>
          <w:tab w:val="clear" w:pos="1701"/>
          <w:tab w:val="clear" w:pos="2268"/>
        </w:tabs>
        <w:spacing w:before="120" w:after="0" w:line="280" w:lineRule="atLeast"/>
        <w:rPr>
          <w:lang w:val="en-US"/>
        </w:rPr>
      </w:pPr>
    </w:p>
    <w:p w14:paraId="1BB8A8E0" w14:textId="258669F8" w:rsidR="009A52AF" w:rsidRDefault="009A52AF">
      <w:pPr>
        <w:tabs>
          <w:tab w:val="clear" w:pos="567"/>
          <w:tab w:val="clear" w:pos="1134"/>
          <w:tab w:val="clear" w:pos="1701"/>
          <w:tab w:val="clear" w:pos="2268"/>
        </w:tabs>
        <w:spacing w:after="0"/>
        <w:jc w:val="left"/>
        <w:rPr>
          <w:rFonts w:cs="Calibri"/>
          <w:sz w:val="40"/>
          <w:szCs w:val="40"/>
        </w:rPr>
      </w:pPr>
      <w:r>
        <w:rPr>
          <w:rFonts w:cs="Calibri"/>
          <w:sz w:val="40"/>
          <w:szCs w:val="40"/>
        </w:rPr>
        <w:br w:type="page"/>
      </w:r>
    </w:p>
    <w:p w14:paraId="65237778" w14:textId="70A4823A" w:rsidR="003362D6" w:rsidRPr="00620E1A" w:rsidRDefault="003362D6" w:rsidP="003362D6">
      <w:pPr>
        <w:tabs>
          <w:tab w:val="clear" w:pos="567"/>
          <w:tab w:val="clear" w:pos="1134"/>
          <w:tab w:val="clear" w:pos="1701"/>
          <w:tab w:val="clear" w:pos="2268"/>
        </w:tabs>
        <w:spacing w:after="0"/>
        <w:jc w:val="left"/>
        <w:rPr>
          <w:b/>
          <w:bCs/>
          <w:sz w:val="32"/>
          <w:szCs w:val="32"/>
          <w:lang w:val="sv-SE"/>
        </w:rPr>
      </w:pPr>
      <w:r w:rsidRPr="00620E1A">
        <w:rPr>
          <w:rFonts w:cs="Calibri"/>
          <w:sz w:val="40"/>
          <w:szCs w:val="40"/>
          <w:lang w:val="sv-SE"/>
        </w:rPr>
        <w:lastRenderedPageBreak/>
        <w:t>Annex I Agenda MAVI TWG (1) 2022</w:t>
      </w:r>
    </w:p>
    <w:p w14:paraId="1CAB1BC0" w14:textId="77777777" w:rsidR="003362D6" w:rsidRPr="00620E1A" w:rsidRDefault="003362D6" w:rsidP="003362D6">
      <w:pPr>
        <w:rPr>
          <w:b/>
          <w:bCs/>
          <w:lang w:val="sv-SE"/>
        </w:rPr>
      </w:pPr>
    </w:p>
    <w:p w14:paraId="6B545077" w14:textId="77777777" w:rsidR="003362D6" w:rsidRDefault="003362D6" w:rsidP="003362D6">
      <w:pPr>
        <w:rPr>
          <w:b/>
          <w:bCs/>
        </w:rPr>
      </w:pPr>
      <w:r>
        <w:rPr>
          <w:b/>
          <w:bCs/>
        </w:rPr>
        <w:t>Online Sessions</w:t>
      </w:r>
    </w:p>
    <w:p w14:paraId="1C9FDC85" w14:textId="77777777" w:rsidR="003362D6" w:rsidRDefault="003362D6" w:rsidP="003362D6">
      <w:r>
        <w:t>TO: Participants of the TWG and SOWG</w:t>
      </w:r>
    </w:p>
    <w:p w14:paraId="3BDB9463" w14:textId="77777777" w:rsidR="003362D6" w:rsidRDefault="003362D6" w:rsidP="003362D6">
      <w:pPr>
        <w:rPr>
          <w:b/>
          <w:bCs/>
        </w:rPr>
      </w:pPr>
      <w:r w:rsidRPr="000231AF">
        <w:rPr>
          <w:b/>
          <w:bCs/>
        </w:rPr>
        <w:t>Date: 5/5/2022</w:t>
      </w:r>
    </w:p>
    <w:p w14:paraId="71D86B09" w14:textId="77777777" w:rsidR="003362D6" w:rsidRPr="000231AF" w:rsidRDefault="003362D6" w:rsidP="003362D6">
      <w:pPr>
        <w:rPr>
          <w:b/>
          <w:bCs/>
        </w:rPr>
      </w:pPr>
      <w:r w:rsidRPr="000231AF">
        <w:rPr>
          <w:b/>
          <w:bCs/>
        </w:rPr>
        <w:t>Time:</w:t>
      </w:r>
      <w:r>
        <w:rPr>
          <w:b/>
          <w:bCs/>
        </w:rPr>
        <w:t xml:space="preserve"> </w:t>
      </w:r>
      <w:r w:rsidRPr="000231AF">
        <w:rPr>
          <w:b/>
          <w:bCs/>
        </w:rPr>
        <w:t>9:00-13:00</w:t>
      </w:r>
      <w:r>
        <w:rPr>
          <w:b/>
          <w:bCs/>
        </w:rPr>
        <w:t xml:space="preserve"> (CEST) with two breaks</w:t>
      </w:r>
    </w:p>
    <w:p w14:paraId="168F26A4" w14:textId="77777777" w:rsidR="003362D6" w:rsidRPr="000231AF" w:rsidRDefault="003362D6" w:rsidP="003362D6">
      <w:pPr>
        <w:rPr>
          <w:b/>
          <w:bCs/>
        </w:rPr>
      </w:pPr>
      <w:r w:rsidRPr="000231AF">
        <w:rPr>
          <w:b/>
          <w:bCs/>
        </w:rPr>
        <w:t>Co-lead: Belgium (Ward Van Roy), Denmark (Nils Nordholm)</w:t>
      </w:r>
    </w:p>
    <w:p w14:paraId="0CCA2A7D" w14:textId="77777777" w:rsidR="003362D6" w:rsidRPr="000231AF" w:rsidRDefault="003362D6" w:rsidP="003362D6">
      <w:pPr>
        <w:rPr>
          <w:b/>
          <w:bCs/>
        </w:rPr>
      </w:pPr>
      <w:r>
        <w:rPr>
          <w:b/>
          <w:bCs/>
        </w:rPr>
        <w:t>Meeting C</w:t>
      </w:r>
      <w:r w:rsidRPr="000231AF">
        <w:rPr>
          <w:b/>
          <w:bCs/>
        </w:rPr>
        <w:t>hair</w:t>
      </w:r>
      <w:r>
        <w:rPr>
          <w:b/>
          <w:bCs/>
        </w:rPr>
        <w:t>man</w:t>
      </w:r>
      <w:r w:rsidRPr="000231AF">
        <w:rPr>
          <w:b/>
          <w:bCs/>
        </w:rPr>
        <w:t>: Nils Nordholm</w:t>
      </w:r>
    </w:p>
    <w:p w14:paraId="42CCA6C5" w14:textId="77777777" w:rsidR="003362D6" w:rsidRDefault="003362D6" w:rsidP="003362D6">
      <w:pPr>
        <w:rPr>
          <w:b/>
          <w:bCs/>
        </w:rPr>
      </w:pPr>
    </w:p>
    <w:p w14:paraId="4026B799" w14:textId="77777777" w:rsidR="003362D6" w:rsidRPr="00713B85" w:rsidRDefault="003362D6" w:rsidP="003362D6">
      <w:pPr>
        <w:pStyle w:val="NoSpacing"/>
        <w:rPr>
          <w:b/>
          <w:bCs/>
        </w:rPr>
      </w:pPr>
      <w:r w:rsidRPr="00713B85">
        <w:rPr>
          <w:b/>
          <w:bCs/>
        </w:rPr>
        <w:t>Join by web</w:t>
      </w:r>
    </w:p>
    <w:p w14:paraId="285E2EDE" w14:textId="77777777" w:rsidR="003362D6" w:rsidRDefault="003362D6" w:rsidP="003362D6">
      <w:pPr>
        <w:pStyle w:val="NoSpacing"/>
      </w:pPr>
      <w:r>
        <w:t>https://ospar.webex.com/ospar/j.php?MTID=m7856f9675e587e07652bb38c6eb9b341</w:t>
      </w:r>
    </w:p>
    <w:p w14:paraId="4038BCA9" w14:textId="77777777" w:rsidR="003362D6" w:rsidRDefault="003362D6" w:rsidP="003362D6">
      <w:pPr>
        <w:pStyle w:val="NoSpacing"/>
      </w:pPr>
      <w:r>
        <w:t>Meeting number: 2364 846 5682</w:t>
      </w:r>
    </w:p>
    <w:p w14:paraId="5BAA7A35" w14:textId="77777777" w:rsidR="003362D6" w:rsidRDefault="003362D6" w:rsidP="003362D6">
      <w:pPr>
        <w:pStyle w:val="NoSpacing"/>
      </w:pPr>
      <w:r>
        <w:t>Password: Annex6</w:t>
      </w:r>
    </w:p>
    <w:p w14:paraId="361F22CA" w14:textId="77777777" w:rsidR="003362D6" w:rsidRDefault="003362D6" w:rsidP="003362D6">
      <w:pPr>
        <w:pStyle w:val="NoSpacing"/>
      </w:pPr>
    </w:p>
    <w:p w14:paraId="6386698F" w14:textId="77777777" w:rsidR="003362D6" w:rsidRPr="00713B85" w:rsidRDefault="003362D6" w:rsidP="003362D6">
      <w:pPr>
        <w:pStyle w:val="NoSpacing"/>
        <w:rPr>
          <w:b/>
          <w:bCs/>
        </w:rPr>
      </w:pPr>
      <w:r w:rsidRPr="00713B85">
        <w:rPr>
          <w:b/>
          <w:bCs/>
        </w:rPr>
        <w:t>Join by video system</w:t>
      </w:r>
    </w:p>
    <w:p w14:paraId="368C8C69" w14:textId="77777777" w:rsidR="003362D6" w:rsidRDefault="003362D6" w:rsidP="003362D6">
      <w:pPr>
        <w:pStyle w:val="NoSpacing"/>
      </w:pPr>
      <w:r>
        <w:t>Dial 23648465682@ospar.webex.com</w:t>
      </w:r>
    </w:p>
    <w:p w14:paraId="48F35C7B" w14:textId="77777777" w:rsidR="003362D6" w:rsidRDefault="003362D6" w:rsidP="003362D6">
      <w:pPr>
        <w:pStyle w:val="NoSpacing"/>
      </w:pPr>
      <w:r>
        <w:t>You can also dial 62.109.219.4 and enter your meeting number.</w:t>
      </w:r>
    </w:p>
    <w:p w14:paraId="3B2FA756" w14:textId="77777777" w:rsidR="003362D6" w:rsidRDefault="003362D6" w:rsidP="003362D6">
      <w:pPr>
        <w:pStyle w:val="NoSpacing"/>
      </w:pPr>
    </w:p>
    <w:p w14:paraId="2E33611D" w14:textId="77777777" w:rsidR="003362D6" w:rsidRPr="00713B85" w:rsidRDefault="003362D6" w:rsidP="003362D6">
      <w:pPr>
        <w:pStyle w:val="NoSpacing"/>
        <w:rPr>
          <w:b/>
          <w:bCs/>
        </w:rPr>
      </w:pPr>
      <w:r w:rsidRPr="00713B85">
        <w:rPr>
          <w:b/>
          <w:bCs/>
        </w:rPr>
        <w:t>Join by phone</w:t>
      </w:r>
    </w:p>
    <w:p w14:paraId="04216B55" w14:textId="77777777" w:rsidR="003362D6" w:rsidRDefault="003362D6" w:rsidP="003362D6">
      <w:pPr>
        <w:pStyle w:val="NoSpacing"/>
      </w:pPr>
      <w:r>
        <w:t>+44-203-478-5289 United Kingdom toll</w:t>
      </w:r>
    </w:p>
    <w:p w14:paraId="111F4E89" w14:textId="77777777" w:rsidR="003362D6" w:rsidRPr="00F668DC" w:rsidRDefault="003362D6" w:rsidP="003362D6">
      <w:pPr>
        <w:pStyle w:val="NoSpacing"/>
      </w:pPr>
      <w:r>
        <w:t>Access code: 236 484 65682</w:t>
      </w:r>
    </w:p>
    <w:p w14:paraId="79148926" w14:textId="77777777" w:rsidR="003362D6" w:rsidRDefault="003362D6" w:rsidP="003362D6"/>
    <w:p w14:paraId="23DE7D87" w14:textId="77777777" w:rsidR="003362D6" w:rsidRDefault="003362D6" w:rsidP="003362D6"/>
    <w:p w14:paraId="29826E4C" w14:textId="77777777" w:rsidR="003362D6" w:rsidRDefault="003362D6" w:rsidP="003362D6">
      <w:r>
        <w:rPr>
          <w:b/>
          <w:bCs/>
          <w:sz w:val="24"/>
          <w:szCs w:val="24"/>
        </w:rPr>
        <w:t>Background</w:t>
      </w:r>
    </w:p>
    <w:p w14:paraId="0BCE33AD" w14:textId="77777777" w:rsidR="003362D6" w:rsidRDefault="003362D6" w:rsidP="003362D6">
      <w:r>
        <w:t>The participants of the Bonn Agreement MARPOL Annex VI Experts Workshop 21 (MAVIEWS21) recommended to create two working groups on Marpol Annex VI, the Strategic Operational Working Group (SOWG) and the Technical Working Group (TWG). For every WG a list of follow-up actions was defined. These follow up actions points for the two WGs were further divided in quick win actions (in-kind actions) and actions requiring additional funding (project-based actions). The recommendations of MAVIEWS21 were presented and endorsed at OTSOPA 21 (</w:t>
      </w:r>
      <w:r w:rsidRPr="00D1472B">
        <w:t>OTSOPA</w:t>
      </w:r>
      <w:r>
        <w:t> </w:t>
      </w:r>
      <w:r w:rsidRPr="00D1472B">
        <w:t>21/2/4</w:t>
      </w:r>
      <w:r>
        <w:t>).</w:t>
      </w:r>
    </w:p>
    <w:p w14:paraId="00A13411" w14:textId="77777777" w:rsidR="003362D6" w:rsidRDefault="003362D6" w:rsidP="003362D6">
      <w:r>
        <w:t xml:space="preserve">Bonn 21 adopted the Terms of Reference of the working groups, SOWG and TWG.  Belgium and Denmark volunteered to co-lead the TWG. No co-leads were found for the SOWG. Bonn 2021 agreed </w:t>
      </w:r>
      <w:r w:rsidRPr="00A32F66">
        <w:t xml:space="preserve">on </w:t>
      </w:r>
      <w:r>
        <w:t>a</w:t>
      </w:r>
      <w:r w:rsidRPr="00A32F66">
        <w:t xml:space="preserve"> project outline as the basis to develop a future proposal in coordination with the two WGs</w:t>
      </w:r>
      <w:r>
        <w:t xml:space="preserve">: no Contracting Parties (CPs) volunteered to coordinate the potential project. According to the Terms of Reference, the WGs should have  frequent meetings  prior to OTSOPA22. As no co-leads were found for the SOWG and as both WGs need a close collaboration, no meetings from neither the SOWG nor the TWG have been organised so far. </w:t>
      </w:r>
    </w:p>
    <w:p w14:paraId="435716D7" w14:textId="77777777" w:rsidR="003362D6" w:rsidRDefault="003362D6" w:rsidP="003362D6">
      <w:pPr>
        <w:jc w:val="left"/>
        <w:rPr>
          <w:b/>
          <w:bCs/>
          <w:sz w:val="24"/>
          <w:szCs w:val="24"/>
        </w:rPr>
      </w:pPr>
      <w:r>
        <w:rPr>
          <w:b/>
          <w:bCs/>
          <w:sz w:val="24"/>
          <w:szCs w:val="24"/>
        </w:rPr>
        <w:br w:type="page"/>
      </w:r>
    </w:p>
    <w:p w14:paraId="7F140574" w14:textId="77777777" w:rsidR="003362D6" w:rsidRPr="00AB2C9F" w:rsidRDefault="003362D6" w:rsidP="003362D6">
      <w:pPr>
        <w:rPr>
          <w:b/>
          <w:bCs/>
          <w:sz w:val="24"/>
          <w:szCs w:val="24"/>
        </w:rPr>
      </w:pPr>
      <w:r w:rsidRPr="00AB2C9F">
        <w:rPr>
          <w:b/>
          <w:bCs/>
          <w:sz w:val="24"/>
          <w:szCs w:val="24"/>
        </w:rPr>
        <w:lastRenderedPageBreak/>
        <w:t>Aim of the meeting</w:t>
      </w:r>
    </w:p>
    <w:p w14:paraId="3E222628" w14:textId="77777777" w:rsidR="003362D6" w:rsidRDefault="003362D6" w:rsidP="003362D6">
      <w:r>
        <w:t>The aim of the  first session of the TWG is to address the in-kind actions from the ToR of the TWG (</w:t>
      </w:r>
      <w:r w:rsidRPr="00904A7C">
        <w:t>BONN 21/3/6 Add.2</w:t>
      </w:r>
      <w:r>
        <w:t>) and the technical aspects of some in-kind actions of the ToR of the SOWG (</w:t>
      </w:r>
      <w:r w:rsidRPr="00904A7C">
        <w:t xml:space="preserve">OTSOPA 21/13/01-Annex </w:t>
      </w:r>
      <w:r>
        <w:t xml:space="preserve">06). In addition, a discussion on the way forward for the project proposal and the SOWG will be held. The findings will be presented and further discussed at OTSOPA22. </w:t>
      </w:r>
    </w:p>
    <w:p w14:paraId="3F1E9F7A" w14:textId="77777777" w:rsidR="003362D6" w:rsidRPr="00B3623E" w:rsidRDefault="003362D6" w:rsidP="003362D6">
      <w:pPr>
        <w:rPr>
          <w:b/>
          <w:bCs/>
          <w:sz w:val="24"/>
          <w:szCs w:val="24"/>
        </w:rPr>
      </w:pPr>
      <w:r w:rsidRPr="00B3623E">
        <w:rPr>
          <w:b/>
          <w:bCs/>
          <w:sz w:val="24"/>
          <w:szCs w:val="24"/>
        </w:rPr>
        <w:t>Agenda</w:t>
      </w:r>
      <w:r>
        <w:rPr>
          <w:b/>
          <w:bCs/>
          <w:sz w:val="24"/>
          <w:szCs w:val="24"/>
        </w:rPr>
        <w:t xml:space="preserve"> </w:t>
      </w:r>
    </w:p>
    <w:p w14:paraId="14D8E816" w14:textId="77777777" w:rsidR="003362D6" w:rsidRDefault="003362D6" w:rsidP="003362D6">
      <w:r>
        <w:t>9:00 Tour de table</w:t>
      </w:r>
    </w:p>
    <w:p w14:paraId="604C4285" w14:textId="77777777" w:rsidR="003362D6" w:rsidRDefault="003362D6" w:rsidP="003362D6">
      <w:pPr>
        <w:ind w:left="426"/>
      </w:pPr>
      <w:r>
        <w:t>Every CP will be given the opportunity to introduce its participants of the TWG meeting, followed by a short (maximum 5 min) verbal presentation of the CP on the status of the enforcement monitoring operations on Regulation 14 (Sulphur) and Regulation 13 (NOx). For inspiration regarding the verbal presentation the following information could be included:</w:t>
      </w:r>
    </w:p>
    <w:p w14:paraId="68A0E0CD" w14:textId="77777777" w:rsidR="003362D6" w:rsidRPr="00E47E51" w:rsidRDefault="003362D6" w:rsidP="003362D6">
      <w:pPr>
        <w:pStyle w:val="ListParagraph"/>
        <w:numPr>
          <w:ilvl w:val="0"/>
          <w:numId w:val="16"/>
        </w:numPr>
        <w:spacing w:after="160" w:line="259" w:lineRule="auto"/>
        <w:contextualSpacing/>
        <w:jc w:val="both"/>
        <w:rPr>
          <w:b/>
          <w:bCs/>
        </w:rPr>
      </w:pPr>
      <w:r w:rsidRPr="00E47E51">
        <w:rPr>
          <w:b/>
          <w:bCs/>
        </w:rPr>
        <w:t xml:space="preserve">Monitoring </w:t>
      </w:r>
      <w:r>
        <w:rPr>
          <w:b/>
          <w:bCs/>
        </w:rPr>
        <w:t>data</w:t>
      </w:r>
      <w:r w:rsidRPr="00E47E51">
        <w:rPr>
          <w:b/>
          <w:bCs/>
        </w:rPr>
        <w:t xml:space="preserve"> 2021</w:t>
      </w:r>
    </w:p>
    <w:p w14:paraId="7EDCF54E" w14:textId="77777777" w:rsidR="003362D6" w:rsidRDefault="003362D6" w:rsidP="003362D6">
      <w:pPr>
        <w:pStyle w:val="ListParagraph"/>
        <w:numPr>
          <w:ilvl w:val="1"/>
          <w:numId w:val="16"/>
        </w:numPr>
        <w:spacing w:after="160" w:line="259" w:lineRule="auto"/>
        <w:contextualSpacing/>
        <w:jc w:val="both"/>
      </w:pPr>
      <w:r>
        <w:t>Means (sensors, platforms,…)</w:t>
      </w:r>
    </w:p>
    <w:p w14:paraId="7DBBB38F" w14:textId="77777777" w:rsidR="003362D6" w:rsidRDefault="003362D6" w:rsidP="003362D6">
      <w:pPr>
        <w:pStyle w:val="ListParagraph"/>
        <w:numPr>
          <w:ilvl w:val="1"/>
          <w:numId w:val="16"/>
        </w:numPr>
        <w:spacing w:after="160" w:line="259" w:lineRule="auto"/>
        <w:contextualSpacing/>
        <w:jc w:val="both"/>
      </w:pPr>
      <w:r>
        <w:t>Inspection efforts (flight hours, number of inspected ships, …)</w:t>
      </w:r>
    </w:p>
    <w:p w14:paraId="24E46977" w14:textId="77777777" w:rsidR="003362D6" w:rsidRDefault="003362D6" w:rsidP="003362D6">
      <w:pPr>
        <w:pStyle w:val="ListParagraph"/>
        <w:numPr>
          <w:ilvl w:val="1"/>
          <w:numId w:val="16"/>
        </w:numPr>
        <w:spacing w:after="160" w:line="259" w:lineRule="auto"/>
        <w:contextualSpacing/>
        <w:jc w:val="both"/>
      </w:pPr>
      <w:r>
        <w:t>Results (compliance)</w:t>
      </w:r>
    </w:p>
    <w:p w14:paraId="69AEBF16" w14:textId="77777777" w:rsidR="003362D6" w:rsidRPr="00E47E51" w:rsidRDefault="003362D6" w:rsidP="003362D6">
      <w:pPr>
        <w:pStyle w:val="ListParagraph"/>
        <w:numPr>
          <w:ilvl w:val="0"/>
          <w:numId w:val="16"/>
        </w:numPr>
        <w:spacing w:after="160" w:line="259" w:lineRule="auto"/>
        <w:contextualSpacing/>
        <w:jc w:val="both"/>
        <w:rPr>
          <w:b/>
          <w:bCs/>
        </w:rPr>
      </w:pPr>
      <w:r>
        <w:rPr>
          <w:b/>
          <w:bCs/>
        </w:rPr>
        <w:t>Long term t</w:t>
      </w:r>
      <w:r w:rsidRPr="00E47E51">
        <w:rPr>
          <w:b/>
          <w:bCs/>
        </w:rPr>
        <w:t>rends</w:t>
      </w:r>
    </w:p>
    <w:p w14:paraId="6FE5AC6B" w14:textId="77777777" w:rsidR="003362D6" w:rsidRDefault="003362D6" w:rsidP="003362D6">
      <w:pPr>
        <w:pStyle w:val="ListParagraph"/>
        <w:numPr>
          <w:ilvl w:val="1"/>
          <w:numId w:val="16"/>
        </w:numPr>
        <w:spacing w:after="160" w:line="259" w:lineRule="auto"/>
        <w:contextualSpacing/>
        <w:jc w:val="both"/>
      </w:pPr>
      <w:r>
        <w:t>Longer term monitoring efforts</w:t>
      </w:r>
    </w:p>
    <w:p w14:paraId="5914879F" w14:textId="77777777" w:rsidR="003362D6" w:rsidRDefault="003362D6" w:rsidP="003362D6">
      <w:pPr>
        <w:pStyle w:val="ListParagraph"/>
        <w:numPr>
          <w:ilvl w:val="1"/>
          <w:numId w:val="16"/>
        </w:numPr>
        <w:spacing w:after="160" w:line="259" w:lineRule="auto"/>
        <w:contextualSpacing/>
        <w:jc w:val="both"/>
      </w:pPr>
      <w:r>
        <w:t>Trends in compliance</w:t>
      </w:r>
    </w:p>
    <w:p w14:paraId="03A3B742" w14:textId="77777777" w:rsidR="003362D6" w:rsidRPr="00E47E51" w:rsidRDefault="003362D6" w:rsidP="003362D6">
      <w:pPr>
        <w:pStyle w:val="ListParagraph"/>
        <w:numPr>
          <w:ilvl w:val="0"/>
          <w:numId w:val="16"/>
        </w:numPr>
        <w:spacing w:after="160" w:line="259" w:lineRule="auto"/>
        <w:contextualSpacing/>
        <w:jc w:val="both"/>
        <w:rPr>
          <w:b/>
          <w:bCs/>
        </w:rPr>
      </w:pPr>
      <w:r w:rsidRPr="00E47E51">
        <w:rPr>
          <w:b/>
          <w:bCs/>
        </w:rPr>
        <w:t>Future prospects</w:t>
      </w:r>
    </w:p>
    <w:p w14:paraId="3AB9FFF2" w14:textId="77777777" w:rsidR="003362D6" w:rsidRDefault="003362D6" w:rsidP="003362D6">
      <w:pPr>
        <w:pStyle w:val="ListParagraph"/>
        <w:numPr>
          <w:ilvl w:val="1"/>
          <w:numId w:val="16"/>
        </w:numPr>
        <w:spacing w:after="160" w:line="259" w:lineRule="auto"/>
        <w:contextualSpacing/>
        <w:jc w:val="both"/>
      </w:pPr>
      <w:r>
        <w:t>Planned Monitoring efforts for 2022</w:t>
      </w:r>
    </w:p>
    <w:p w14:paraId="0C9CBDC2" w14:textId="77777777" w:rsidR="003362D6" w:rsidRDefault="003362D6" w:rsidP="003362D6">
      <w:pPr>
        <w:pStyle w:val="ListParagraph"/>
        <w:numPr>
          <w:ilvl w:val="1"/>
          <w:numId w:val="16"/>
        </w:numPr>
        <w:spacing w:after="160" w:line="259" w:lineRule="auto"/>
        <w:contextualSpacing/>
        <w:jc w:val="both"/>
      </w:pPr>
      <w:r>
        <w:t>Potential future resources (sensors, platforms,…)</w:t>
      </w:r>
    </w:p>
    <w:p w14:paraId="742882F5" w14:textId="77777777" w:rsidR="003362D6" w:rsidRDefault="003362D6" w:rsidP="003362D6">
      <w:pPr>
        <w:rPr>
          <w:b/>
          <w:bCs/>
          <w:sz w:val="24"/>
          <w:szCs w:val="24"/>
        </w:rPr>
      </w:pPr>
    </w:p>
    <w:p w14:paraId="5134D5C8" w14:textId="77777777" w:rsidR="003362D6" w:rsidRDefault="003362D6" w:rsidP="003362D6">
      <w:pPr>
        <w:rPr>
          <w:b/>
          <w:bCs/>
          <w:sz w:val="24"/>
          <w:szCs w:val="24"/>
        </w:rPr>
      </w:pPr>
      <w:r w:rsidRPr="00FB2373">
        <w:rPr>
          <w:b/>
          <w:bCs/>
          <w:sz w:val="24"/>
          <w:szCs w:val="24"/>
        </w:rPr>
        <w:t xml:space="preserve">TWG </w:t>
      </w:r>
      <w:r>
        <w:rPr>
          <w:b/>
          <w:bCs/>
          <w:sz w:val="24"/>
          <w:szCs w:val="24"/>
        </w:rPr>
        <w:t>A</w:t>
      </w:r>
      <w:r w:rsidRPr="00FB2373">
        <w:rPr>
          <w:b/>
          <w:bCs/>
          <w:sz w:val="24"/>
          <w:szCs w:val="24"/>
        </w:rPr>
        <w:t xml:space="preserve">ction </w:t>
      </w:r>
      <w:r>
        <w:rPr>
          <w:b/>
          <w:bCs/>
          <w:sz w:val="24"/>
          <w:szCs w:val="24"/>
        </w:rPr>
        <w:t xml:space="preserve">9.1: </w:t>
      </w:r>
      <w:r w:rsidRPr="00CC3BD1">
        <w:rPr>
          <w:b/>
          <w:bCs/>
          <w:sz w:val="24"/>
          <w:szCs w:val="24"/>
        </w:rPr>
        <w:t>Consider the recent sensor developments, also for drones (e.g. optical/laser sensors)</w:t>
      </w:r>
    </w:p>
    <w:p w14:paraId="72FA3F55" w14:textId="77777777" w:rsidR="003362D6" w:rsidRDefault="003362D6" w:rsidP="003362D6">
      <w:r>
        <w:t>09:45</w:t>
      </w:r>
      <w:r>
        <w:tab/>
        <w:t>Providing monitoring services by Inspection Team (DK) (10 min + 5 min questions)</w:t>
      </w:r>
    </w:p>
    <w:p w14:paraId="055C8C61" w14:textId="77777777" w:rsidR="003362D6" w:rsidRDefault="003362D6" w:rsidP="003362D6">
      <w:r>
        <w:t>10:00</w:t>
      </w:r>
      <w:r>
        <w:tab/>
        <w:t>Optical sensors for sulphur monitoring by</w:t>
      </w:r>
      <w:r w:rsidRPr="00AB2C9F">
        <w:t xml:space="preserve"> </w:t>
      </w:r>
      <w:r>
        <w:t>TELOPS (FR) (10 min + 5 min questions)</w:t>
      </w:r>
    </w:p>
    <w:p w14:paraId="4A821950" w14:textId="77777777" w:rsidR="003362D6" w:rsidRDefault="003362D6" w:rsidP="003362D6">
      <w:r>
        <w:t>10:15</w:t>
      </w:r>
      <w:r>
        <w:tab/>
        <w:t>Laser sensors by Chalmers university (SE) (10 min + 5 min questions)</w:t>
      </w:r>
    </w:p>
    <w:p w14:paraId="7C11F51D" w14:textId="77777777" w:rsidR="003362D6" w:rsidRDefault="003362D6" w:rsidP="003362D6">
      <w:pPr>
        <w:rPr>
          <w:b/>
          <w:bCs/>
          <w:sz w:val="24"/>
          <w:szCs w:val="24"/>
        </w:rPr>
      </w:pPr>
    </w:p>
    <w:p w14:paraId="57F55EAE" w14:textId="77777777" w:rsidR="003362D6" w:rsidRDefault="003362D6" w:rsidP="003362D6">
      <w:pPr>
        <w:rPr>
          <w:b/>
          <w:bCs/>
          <w:sz w:val="24"/>
          <w:szCs w:val="24"/>
        </w:rPr>
      </w:pPr>
      <w:r w:rsidRPr="00FB2373">
        <w:rPr>
          <w:b/>
          <w:bCs/>
          <w:sz w:val="24"/>
          <w:szCs w:val="24"/>
        </w:rPr>
        <w:t xml:space="preserve">TWG </w:t>
      </w:r>
      <w:r>
        <w:rPr>
          <w:b/>
          <w:bCs/>
          <w:sz w:val="24"/>
          <w:szCs w:val="24"/>
        </w:rPr>
        <w:t>A</w:t>
      </w:r>
      <w:r w:rsidRPr="00FB2373">
        <w:rPr>
          <w:b/>
          <w:bCs/>
          <w:sz w:val="24"/>
          <w:szCs w:val="24"/>
        </w:rPr>
        <w:t xml:space="preserve">ction </w:t>
      </w:r>
      <w:r w:rsidRPr="00CC3BD1">
        <w:rPr>
          <w:b/>
          <w:bCs/>
          <w:sz w:val="24"/>
          <w:szCs w:val="24"/>
        </w:rPr>
        <w:t>9.2</w:t>
      </w:r>
      <w:r>
        <w:rPr>
          <w:b/>
          <w:bCs/>
          <w:sz w:val="24"/>
          <w:szCs w:val="24"/>
        </w:rPr>
        <w:t xml:space="preserve">: </w:t>
      </w:r>
      <w:r w:rsidRPr="00CC3BD1">
        <w:rPr>
          <w:b/>
          <w:bCs/>
          <w:sz w:val="24"/>
          <w:szCs w:val="24"/>
        </w:rPr>
        <w:t>Take into account national experience, ongoing operations and their recommendations, and the outcome of previous projects such as SCIPPER and COMPMON</w:t>
      </w:r>
    </w:p>
    <w:p w14:paraId="7B3E30DE" w14:textId="77777777" w:rsidR="003362D6" w:rsidRDefault="003362D6" w:rsidP="003362D6">
      <w:r>
        <w:t>10:30</w:t>
      </w:r>
      <w:r>
        <w:tab/>
        <w:t xml:space="preserve">SCIPPER project </w:t>
      </w:r>
      <w:r w:rsidRPr="00934E4C">
        <w:t>Leonidas Ntziachristos</w:t>
      </w:r>
      <w:r>
        <w:t xml:space="preserve"> (project coordinator) (20 min + 5 min questions) </w:t>
      </w:r>
    </w:p>
    <w:p w14:paraId="1BE5B7ED" w14:textId="77777777" w:rsidR="003362D6" w:rsidRDefault="003362D6" w:rsidP="003362D6">
      <w:pPr>
        <w:rPr>
          <w:i/>
          <w:iCs/>
        </w:rPr>
      </w:pPr>
    </w:p>
    <w:p w14:paraId="56CDBB90" w14:textId="77777777" w:rsidR="003362D6" w:rsidRPr="00904A7C" w:rsidRDefault="003362D6" w:rsidP="003362D6">
      <w:pPr>
        <w:rPr>
          <w:i/>
          <w:iCs/>
        </w:rPr>
      </w:pPr>
      <w:r w:rsidRPr="00904A7C">
        <w:rPr>
          <w:i/>
          <w:iCs/>
        </w:rPr>
        <w:t>Break (</w:t>
      </w:r>
      <w:r>
        <w:rPr>
          <w:i/>
          <w:iCs/>
        </w:rPr>
        <w:t>15</w:t>
      </w:r>
      <w:r w:rsidRPr="00904A7C">
        <w:rPr>
          <w:i/>
          <w:iCs/>
        </w:rPr>
        <w:t xml:space="preserve"> min)</w:t>
      </w:r>
    </w:p>
    <w:p w14:paraId="2DA1738E" w14:textId="77777777" w:rsidR="003362D6" w:rsidRDefault="003362D6" w:rsidP="003362D6">
      <w:pPr>
        <w:rPr>
          <w:b/>
          <w:bCs/>
          <w:sz w:val="24"/>
          <w:szCs w:val="24"/>
        </w:rPr>
      </w:pPr>
    </w:p>
    <w:p w14:paraId="25DAEC2C" w14:textId="77777777" w:rsidR="003362D6" w:rsidRDefault="003362D6" w:rsidP="003362D6">
      <w:pPr>
        <w:jc w:val="left"/>
        <w:rPr>
          <w:b/>
          <w:bCs/>
          <w:sz w:val="24"/>
          <w:szCs w:val="24"/>
        </w:rPr>
      </w:pPr>
      <w:r>
        <w:rPr>
          <w:b/>
          <w:bCs/>
          <w:sz w:val="24"/>
          <w:szCs w:val="24"/>
        </w:rPr>
        <w:br w:type="page"/>
      </w:r>
    </w:p>
    <w:p w14:paraId="5AA328CD" w14:textId="77777777" w:rsidR="003362D6" w:rsidRDefault="003362D6" w:rsidP="003362D6">
      <w:pPr>
        <w:rPr>
          <w:b/>
          <w:bCs/>
          <w:sz w:val="24"/>
          <w:szCs w:val="24"/>
        </w:rPr>
      </w:pPr>
      <w:r w:rsidRPr="008A50EC">
        <w:rPr>
          <w:b/>
          <w:bCs/>
          <w:sz w:val="24"/>
          <w:szCs w:val="24"/>
        </w:rPr>
        <w:lastRenderedPageBreak/>
        <w:t>SOWG Action 9.4</w:t>
      </w:r>
      <w:r>
        <w:rPr>
          <w:b/>
          <w:bCs/>
          <w:sz w:val="24"/>
          <w:szCs w:val="24"/>
        </w:rPr>
        <w:t>:</w:t>
      </w:r>
      <w:r w:rsidRPr="008A50EC">
        <w:rPr>
          <w:b/>
          <w:bCs/>
          <w:sz w:val="24"/>
          <w:szCs w:val="24"/>
        </w:rPr>
        <w:t xml:space="preserve"> Consider using EMSA sniffer drones in joint campaigns under the Bonn Agreement and sharing experience on the drone deployments among CPs to increase knowledge</w:t>
      </w:r>
    </w:p>
    <w:p w14:paraId="406131FD" w14:textId="77777777" w:rsidR="003362D6" w:rsidRDefault="003362D6" w:rsidP="003362D6">
      <w:r w:rsidRPr="008A50EC">
        <w:t>11:1</w:t>
      </w:r>
      <w:r>
        <w:t>0</w:t>
      </w:r>
      <w:r>
        <w:tab/>
        <w:t>Status and future technical developments of RPAS by EMSA (EU) (10 min)</w:t>
      </w:r>
    </w:p>
    <w:p w14:paraId="6BC797DD" w14:textId="77777777" w:rsidR="003362D6" w:rsidRDefault="003362D6" w:rsidP="003362D6">
      <w:r>
        <w:t>11:20</w:t>
      </w:r>
      <w:r>
        <w:tab/>
        <w:t>Experiences from the Netherlands as end-user by</w:t>
      </w:r>
      <w:r w:rsidRPr="00DC2725">
        <w:t xml:space="preserve"> </w:t>
      </w:r>
      <w:r>
        <w:t>ILT (NL) NL (10 min)</w:t>
      </w:r>
    </w:p>
    <w:p w14:paraId="6319FB22" w14:textId="77777777" w:rsidR="003362D6" w:rsidRDefault="003362D6" w:rsidP="003362D6">
      <w:r>
        <w:t>11:30</w:t>
      </w:r>
      <w:r>
        <w:tab/>
        <w:t>Experiences from France as end-user by DGITM (FR) FR (10 min)</w:t>
      </w:r>
    </w:p>
    <w:p w14:paraId="76C43F4F" w14:textId="77777777" w:rsidR="003362D6" w:rsidRPr="008A50EC" w:rsidRDefault="003362D6" w:rsidP="003362D6">
      <w:r>
        <w:t>11:40</w:t>
      </w:r>
      <w:r>
        <w:tab/>
        <w:t>Questions on RPAS (5 min)</w:t>
      </w:r>
    </w:p>
    <w:p w14:paraId="61BDB27B" w14:textId="77777777" w:rsidR="003362D6" w:rsidRDefault="003362D6" w:rsidP="003362D6">
      <w:pPr>
        <w:rPr>
          <w:b/>
          <w:bCs/>
          <w:sz w:val="24"/>
          <w:szCs w:val="24"/>
        </w:rPr>
      </w:pPr>
    </w:p>
    <w:p w14:paraId="45751165" w14:textId="77777777" w:rsidR="003362D6" w:rsidRDefault="003362D6" w:rsidP="003362D6">
      <w:pPr>
        <w:rPr>
          <w:b/>
          <w:bCs/>
          <w:sz w:val="24"/>
          <w:szCs w:val="24"/>
        </w:rPr>
      </w:pPr>
      <w:r>
        <w:rPr>
          <w:b/>
          <w:bCs/>
          <w:sz w:val="24"/>
          <w:szCs w:val="24"/>
        </w:rPr>
        <w:t xml:space="preserve">SOWG Action </w:t>
      </w:r>
      <w:r w:rsidRPr="008A50EC">
        <w:rPr>
          <w:b/>
          <w:bCs/>
          <w:sz w:val="24"/>
          <w:szCs w:val="24"/>
        </w:rPr>
        <w:t>9.6</w:t>
      </w:r>
      <w:r>
        <w:rPr>
          <w:b/>
          <w:bCs/>
          <w:sz w:val="24"/>
          <w:szCs w:val="24"/>
        </w:rPr>
        <w:t xml:space="preserve">: </w:t>
      </w:r>
      <w:r w:rsidRPr="008A50EC">
        <w:rPr>
          <w:b/>
          <w:bCs/>
          <w:sz w:val="24"/>
          <w:szCs w:val="24"/>
        </w:rPr>
        <w:t>Exchange information on the use of Thetis EU database by CPs to improve reporting of compliant and non-compliant measurements and encourage CPs to submit this data.</w:t>
      </w:r>
    </w:p>
    <w:p w14:paraId="37291B12" w14:textId="77777777" w:rsidR="003362D6" w:rsidRPr="00CC3BD1" w:rsidRDefault="003362D6" w:rsidP="003362D6">
      <w:r w:rsidRPr="00CC3BD1">
        <w:t>11:45</w:t>
      </w:r>
      <w:r>
        <w:tab/>
      </w:r>
      <w:r w:rsidRPr="00CC3BD1">
        <w:t>Implementation of automatic Thetis-EU feed</w:t>
      </w:r>
      <w:r>
        <w:t xml:space="preserve"> by </w:t>
      </w:r>
      <w:r w:rsidRPr="00CC3BD1">
        <w:t xml:space="preserve">MUMM </w:t>
      </w:r>
      <w:r>
        <w:t>(BE) (10 min)</w:t>
      </w:r>
    </w:p>
    <w:p w14:paraId="3F00510A" w14:textId="77777777" w:rsidR="003362D6" w:rsidRDefault="003362D6" w:rsidP="003362D6">
      <w:pPr>
        <w:rPr>
          <w:b/>
          <w:bCs/>
          <w:sz w:val="24"/>
          <w:szCs w:val="24"/>
        </w:rPr>
      </w:pPr>
    </w:p>
    <w:p w14:paraId="0A31BBC3" w14:textId="77777777" w:rsidR="003362D6" w:rsidRDefault="003362D6" w:rsidP="003362D6">
      <w:pPr>
        <w:rPr>
          <w:b/>
          <w:bCs/>
          <w:sz w:val="24"/>
          <w:szCs w:val="24"/>
        </w:rPr>
      </w:pPr>
      <w:r>
        <w:rPr>
          <w:b/>
          <w:bCs/>
          <w:sz w:val="24"/>
          <w:szCs w:val="24"/>
        </w:rPr>
        <w:t xml:space="preserve">TWG Action </w:t>
      </w:r>
      <w:r w:rsidRPr="00CC3BD1">
        <w:rPr>
          <w:b/>
          <w:bCs/>
          <w:sz w:val="24"/>
          <w:szCs w:val="24"/>
        </w:rPr>
        <w:t>9.3</w:t>
      </w:r>
      <w:r>
        <w:rPr>
          <w:b/>
          <w:bCs/>
          <w:sz w:val="24"/>
          <w:szCs w:val="24"/>
        </w:rPr>
        <w:t xml:space="preserve">: </w:t>
      </w:r>
      <w:r w:rsidRPr="00CC3BD1">
        <w:rPr>
          <w:b/>
          <w:bCs/>
          <w:sz w:val="24"/>
          <w:szCs w:val="24"/>
        </w:rPr>
        <w:t xml:space="preserve">Sharing best practices on NOx measurements and reporting </w:t>
      </w:r>
    </w:p>
    <w:p w14:paraId="30FCD420" w14:textId="77777777" w:rsidR="003362D6" w:rsidRPr="00CC3BD1" w:rsidRDefault="003362D6" w:rsidP="003362D6">
      <w:r w:rsidRPr="00CC3BD1">
        <w:t>11:55</w:t>
      </w:r>
      <w:r>
        <w:tab/>
      </w:r>
      <w:r w:rsidRPr="00CC3BD1">
        <w:t>NOx measurement methodology</w:t>
      </w:r>
      <w:r>
        <w:t xml:space="preserve"> for airborne compliance monitoring by </w:t>
      </w:r>
      <w:r w:rsidRPr="00CC3BD1">
        <w:t xml:space="preserve">MUMM </w:t>
      </w:r>
      <w:r>
        <w:t>(BE) (10 min)</w:t>
      </w:r>
    </w:p>
    <w:p w14:paraId="6E629083" w14:textId="77777777" w:rsidR="003362D6" w:rsidRDefault="003362D6" w:rsidP="003362D6">
      <w:r w:rsidRPr="00CC3BD1">
        <w:t>12:05</w:t>
      </w:r>
      <w:r>
        <w:tab/>
      </w:r>
      <w:r w:rsidRPr="00CC3BD1">
        <w:t>Reanalysing historic NOx data to asses general NOx compliance</w:t>
      </w:r>
      <w:r>
        <w:t xml:space="preserve"> by</w:t>
      </w:r>
      <w:r w:rsidRPr="00DC2725">
        <w:t xml:space="preserve"> </w:t>
      </w:r>
      <w:r w:rsidRPr="00CC3BD1">
        <w:t>Explicit</w:t>
      </w:r>
      <w:r>
        <w:t xml:space="preserve"> (DK) (10 min)</w:t>
      </w:r>
    </w:p>
    <w:p w14:paraId="564ED6F7" w14:textId="77777777" w:rsidR="003362D6" w:rsidRDefault="003362D6" w:rsidP="003362D6">
      <w:r>
        <w:t>12:15</w:t>
      </w:r>
      <w:r>
        <w:tab/>
        <w:t>Questions on NOx (5 min)</w:t>
      </w:r>
    </w:p>
    <w:p w14:paraId="2999B8CB" w14:textId="77777777" w:rsidR="003362D6" w:rsidRDefault="003362D6" w:rsidP="003362D6">
      <w:pPr>
        <w:rPr>
          <w:i/>
          <w:iCs/>
        </w:rPr>
      </w:pPr>
    </w:p>
    <w:p w14:paraId="09530F47" w14:textId="77777777" w:rsidR="003362D6" w:rsidRPr="00904A7C" w:rsidRDefault="003362D6" w:rsidP="003362D6">
      <w:pPr>
        <w:rPr>
          <w:i/>
          <w:iCs/>
        </w:rPr>
      </w:pPr>
      <w:r w:rsidRPr="00904A7C">
        <w:rPr>
          <w:i/>
          <w:iCs/>
        </w:rPr>
        <w:t>Break (</w:t>
      </w:r>
      <w:r>
        <w:rPr>
          <w:i/>
          <w:iCs/>
        </w:rPr>
        <w:t>10</w:t>
      </w:r>
      <w:r w:rsidRPr="00904A7C">
        <w:rPr>
          <w:i/>
          <w:iCs/>
        </w:rPr>
        <w:t xml:space="preserve"> min)</w:t>
      </w:r>
    </w:p>
    <w:p w14:paraId="527DCDDD" w14:textId="77777777" w:rsidR="003362D6" w:rsidRDefault="003362D6" w:rsidP="003362D6">
      <w:pPr>
        <w:rPr>
          <w:b/>
          <w:bCs/>
          <w:sz w:val="24"/>
          <w:szCs w:val="24"/>
        </w:rPr>
      </w:pPr>
    </w:p>
    <w:p w14:paraId="3F4F8488" w14:textId="77777777" w:rsidR="003362D6" w:rsidRDefault="003362D6" w:rsidP="003362D6">
      <w:pPr>
        <w:rPr>
          <w:b/>
          <w:bCs/>
          <w:sz w:val="24"/>
          <w:szCs w:val="24"/>
        </w:rPr>
      </w:pPr>
      <w:r>
        <w:rPr>
          <w:b/>
          <w:bCs/>
          <w:sz w:val="24"/>
          <w:szCs w:val="24"/>
        </w:rPr>
        <w:t>12:30 Discussion (30 min) CPs only</w:t>
      </w:r>
    </w:p>
    <w:p w14:paraId="689C28CD" w14:textId="77777777" w:rsidR="003362D6" w:rsidRPr="00B3623E" w:rsidRDefault="003362D6" w:rsidP="003362D6">
      <w:pPr>
        <w:pStyle w:val="ListParagraph"/>
        <w:numPr>
          <w:ilvl w:val="0"/>
          <w:numId w:val="9"/>
        </w:numPr>
        <w:spacing w:after="160" w:line="259" w:lineRule="auto"/>
        <w:contextualSpacing/>
        <w:jc w:val="both"/>
        <w:rPr>
          <w:b/>
          <w:bCs/>
          <w:sz w:val="24"/>
          <w:szCs w:val="24"/>
        </w:rPr>
      </w:pPr>
      <w:r w:rsidRPr="00B3623E">
        <w:rPr>
          <w:b/>
          <w:bCs/>
          <w:sz w:val="24"/>
          <w:szCs w:val="24"/>
        </w:rPr>
        <w:t>Way forward with SOWG</w:t>
      </w:r>
    </w:p>
    <w:p w14:paraId="49D620AE" w14:textId="77777777" w:rsidR="003362D6" w:rsidRPr="00B3623E" w:rsidRDefault="003362D6" w:rsidP="003362D6">
      <w:pPr>
        <w:pStyle w:val="ListParagraph"/>
        <w:numPr>
          <w:ilvl w:val="0"/>
          <w:numId w:val="10"/>
        </w:numPr>
        <w:spacing w:after="160" w:line="259" w:lineRule="auto"/>
        <w:contextualSpacing/>
        <w:jc w:val="both"/>
      </w:pPr>
      <w:r w:rsidRPr="00B3623E">
        <w:t>Assignment of Co-leads</w:t>
      </w:r>
      <w:r>
        <w:t>, views of TWG participants</w:t>
      </w:r>
    </w:p>
    <w:p w14:paraId="36B095BE" w14:textId="77777777" w:rsidR="003362D6" w:rsidRDefault="003362D6" w:rsidP="003362D6">
      <w:pPr>
        <w:pStyle w:val="ListParagraph"/>
        <w:numPr>
          <w:ilvl w:val="0"/>
          <w:numId w:val="9"/>
        </w:numPr>
        <w:spacing w:after="160" w:line="259" w:lineRule="auto"/>
        <w:contextualSpacing/>
        <w:jc w:val="both"/>
        <w:rPr>
          <w:b/>
          <w:bCs/>
          <w:sz w:val="24"/>
          <w:szCs w:val="24"/>
        </w:rPr>
      </w:pPr>
      <w:r>
        <w:rPr>
          <w:b/>
          <w:bCs/>
          <w:sz w:val="24"/>
          <w:szCs w:val="24"/>
        </w:rPr>
        <w:t>Way forward with Project</w:t>
      </w:r>
    </w:p>
    <w:p w14:paraId="2F6D6E65" w14:textId="77777777" w:rsidR="003362D6" w:rsidRDefault="003362D6" w:rsidP="003362D6">
      <w:pPr>
        <w:pStyle w:val="ListParagraph"/>
        <w:numPr>
          <w:ilvl w:val="0"/>
          <w:numId w:val="10"/>
        </w:numPr>
        <w:spacing w:after="160" w:line="259" w:lineRule="auto"/>
        <w:contextualSpacing/>
        <w:jc w:val="both"/>
      </w:pPr>
      <w:r>
        <w:t>Assignment of project c</w:t>
      </w:r>
      <w:r w:rsidRPr="00B3623E">
        <w:t>oordinator</w:t>
      </w:r>
    </w:p>
    <w:p w14:paraId="1430E067" w14:textId="77777777" w:rsidR="003362D6" w:rsidRDefault="003362D6" w:rsidP="003362D6">
      <w:pPr>
        <w:pStyle w:val="ListParagraph"/>
        <w:numPr>
          <w:ilvl w:val="0"/>
          <w:numId w:val="10"/>
        </w:numPr>
        <w:spacing w:after="160" w:line="259" w:lineRule="auto"/>
        <w:contextualSpacing/>
        <w:jc w:val="both"/>
      </w:pPr>
      <w:r>
        <w:t xml:space="preserve">Exchange information on potential funding programs and calls (update) or projects </w:t>
      </w:r>
    </w:p>
    <w:p w14:paraId="321D7C60" w14:textId="77777777" w:rsidR="003362D6" w:rsidRPr="00B3623E" w:rsidRDefault="003362D6" w:rsidP="003362D6">
      <w:pPr>
        <w:pStyle w:val="ListParagraph"/>
        <w:numPr>
          <w:ilvl w:val="0"/>
          <w:numId w:val="10"/>
        </w:numPr>
        <w:spacing w:after="160" w:line="259" w:lineRule="auto"/>
        <w:contextualSpacing/>
        <w:jc w:val="both"/>
      </w:pPr>
      <w:r>
        <w:t>Alternative: Should we for the time being only focus on a part of the project</w:t>
      </w:r>
    </w:p>
    <w:p w14:paraId="3039481E" w14:textId="77777777" w:rsidR="003362D6" w:rsidRDefault="003362D6" w:rsidP="003362D6">
      <w:pPr>
        <w:pStyle w:val="ListParagraph"/>
        <w:numPr>
          <w:ilvl w:val="0"/>
          <w:numId w:val="9"/>
        </w:numPr>
        <w:spacing w:after="160" w:line="259" w:lineRule="auto"/>
        <w:contextualSpacing/>
        <w:jc w:val="both"/>
        <w:rPr>
          <w:b/>
          <w:bCs/>
          <w:sz w:val="24"/>
          <w:szCs w:val="24"/>
        </w:rPr>
      </w:pPr>
      <w:r>
        <w:rPr>
          <w:b/>
          <w:bCs/>
          <w:sz w:val="24"/>
          <w:szCs w:val="24"/>
        </w:rPr>
        <w:t>Way forward with TWG</w:t>
      </w:r>
    </w:p>
    <w:p w14:paraId="20906730" w14:textId="77777777" w:rsidR="003362D6" w:rsidRPr="000231AF" w:rsidRDefault="003362D6" w:rsidP="003362D6">
      <w:pPr>
        <w:pStyle w:val="ListParagraph"/>
        <w:numPr>
          <w:ilvl w:val="0"/>
          <w:numId w:val="10"/>
        </w:numPr>
        <w:spacing w:after="160" w:line="259" w:lineRule="auto"/>
        <w:contextualSpacing/>
        <w:jc w:val="both"/>
        <w:rPr>
          <w:b/>
          <w:bCs/>
          <w:sz w:val="24"/>
          <w:szCs w:val="24"/>
        </w:rPr>
      </w:pPr>
      <w:r w:rsidRPr="000231AF">
        <w:t>Next meeting and agenda items</w:t>
      </w:r>
    </w:p>
    <w:p w14:paraId="5ED3706E" w14:textId="77777777" w:rsidR="003362D6" w:rsidRDefault="003362D6" w:rsidP="003362D6"/>
    <w:p w14:paraId="708D1D8D" w14:textId="77777777" w:rsidR="003362D6" w:rsidRDefault="003362D6" w:rsidP="003362D6">
      <w:r w:rsidRPr="00F668DC">
        <w:t>13:00</w:t>
      </w:r>
      <w:r>
        <w:tab/>
        <w:t>C</w:t>
      </w:r>
      <w:r w:rsidRPr="00F668DC">
        <w:t>losing of the meeting</w:t>
      </w:r>
    </w:p>
    <w:p w14:paraId="5C687612" w14:textId="7BD6283C" w:rsidR="003362D6" w:rsidRDefault="003362D6">
      <w:pPr>
        <w:tabs>
          <w:tab w:val="clear" w:pos="567"/>
          <w:tab w:val="clear" w:pos="1134"/>
          <w:tab w:val="clear" w:pos="1701"/>
          <w:tab w:val="clear" w:pos="2268"/>
        </w:tabs>
        <w:spacing w:after="0"/>
        <w:jc w:val="left"/>
        <w:rPr>
          <w:rFonts w:cs="Calibri"/>
          <w:sz w:val="40"/>
          <w:szCs w:val="40"/>
        </w:rPr>
      </w:pPr>
      <w:r>
        <w:rPr>
          <w:rFonts w:cs="Calibri"/>
          <w:sz w:val="40"/>
          <w:szCs w:val="40"/>
        </w:rPr>
        <w:br w:type="page"/>
      </w:r>
    </w:p>
    <w:p w14:paraId="5D844799" w14:textId="74C3D0B7" w:rsidR="009A52AF" w:rsidRDefault="009A52AF">
      <w:pPr>
        <w:tabs>
          <w:tab w:val="clear" w:pos="567"/>
          <w:tab w:val="clear" w:pos="1134"/>
          <w:tab w:val="clear" w:pos="1701"/>
          <w:tab w:val="clear" w:pos="2268"/>
        </w:tabs>
        <w:spacing w:after="0"/>
        <w:jc w:val="left"/>
        <w:rPr>
          <w:rFonts w:cs="Calibri"/>
          <w:sz w:val="40"/>
          <w:szCs w:val="40"/>
        </w:rPr>
      </w:pPr>
      <w:r>
        <w:rPr>
          <w:rFonts w:cs="Calibri"/>
          <w:sz w:val="40"/>
          <w:szCs w:val="40"/>
        </w:rPr>
        <w:lastRenderedPageBreak/>
        <w:t>Annex II ToR MAVI TWG</w:t>
      </w:r>
    </w:p>
    <w:p w14:paraId="172ADFD7" w14:textId="77777777" w:rsidR="009A52AF" w:rsidRDefault="009A52AF">
      <w:pPr>
        <w:tabs>
          <w:tab w:val="clear" w:pos="567"/>
          <w:tab w:val="clear" w:pos="1134"/>
          <w:tab w:val="clear" w:pos="1701"/>
          <w:tab w:val="clear" w:pos="2268"/>
        </w:tabs>
        <w:spacing w:after="0"/>
        <w:jc w:val="left"/>
        <w:rPr>
          <w:rFonts w:cs="Calibri"/>
          <w:sz w:val="40"/>
          <w:szCs w:val="40"/>
        </w:rPr>
      </w:pPr>
    </w:p>
    <w:p w14:paraId="55B361FB" w14:textId="77777777" w:rsidR="009A52AF" w:rsidRPr="00DD21E1" w:rsidRDefault="009A52AF" w:rsidP="009A52AF">
      <w:pPr>
        <w:tabs>
          <w:tab w:val="clear" w:pos="1134"/>
          <w:tab w:val="clear" w:pos="1701"/>
          <w:tab w:val="clear" w:pos="2268"/>
          <w:tab w:val="left" w:pos="4185"/>
          <w:tab w:val="right" w:pos="9639"/>
        </w:tabs>
        <w:spacing w:after="0" w:line="280" w:lineRule="exact"/>
        <w:rPr>
          <w:sz w:val="28"/>
          <w:szCs w:val="24"/>
          <w:lang w:eastAsia="en-US"/>
        </w:rPr>
      </w:pPr>
      <w:bookmarkStart w:id="3" w:name="_Hlk75171479"/>
      <w:bookmarkStart w:id="4" w:name="_Hlk68079476"/>
      <w:r w:rsidRPr="00DD21E1">
        <w:rPr>
          <w:sz w:val="28"/>
          <w:szCs w:val="24"/>
          <w:lang w:eastAsia="en-US"/>
        </w:rPr>
        <w:t>Agenda Item 3.6</w:t>
      </w:r>
      <w:r w:rsidRPr="00DD21E1">
        <w:rPr>
          <w:sz w:val="28"/>
          <w:szCs w:val="24"/>
          <w:lang w:eastAsia="en-US"/>
        </w:rPr>
        <w:tab/>
      </w:r>
      <w:r w:rsidRPr="00DD21E1">
        <w:rPr>
          <w:sz w:val="28"/>
          <w:szCs w:val="24"/>
          <w:lang w:eastAsia="en-US"/>
        </w:rPr>
        <w:tab/>
        <w:t>BONN 21/3/6</w:t>
      </w:r>
      <w:r>
        <w:rPr>
          <w:sz w:val="28"/>
          <w:szCs w:val="24"/>
          <w:lang w:eastAsia="en-US"/>
        </w:rPr>
        <w:t xml:space="preserve"> Add.2</w:t>
      </w:r>
    </w:p>
    <w:p w14:paraId="5DC2CA20" w14:textId="77777777" w:rsidR="009A52AF" w:rsidRPr="00DD21E1" w:rsidRDefault="009A52AF" w:rsidP="009A52AF">
      <w:pPr>
        <w:tabs>
          <w:tab w:val="clear" w:pos="567"/>
          <w:tab w:val="clear" w:pos="1134"/>
          <w:tab w:val="clear" w:pos="2268"/>
          <w:tab w:val="left" w:pos="1418"/>
          <w:tab w:val="right" w:pos="9639"/>
        </w:tabs>
        <w:spacing w:before="240" w:after="0" w:line="280" w:lineRule="atLeast"/>
        <w:rPr>
          <w:sz w:val="28"/>
          <w:szCs w:val="24"/>
        </w:rPr>
      </w:pPr>
      <w:bookmarkStart w:id="5" w:name="_Hlk18961794"/>
      <w:r w:rsidRPr="00DD21E1">
        <w:rPr>
          <w:sz w:val="28"/>
          <w:szCs w:val="24"/>
        </w:rPr>
        <w:t>Agreement for Cooperation in Dealing with Pollution of the North Sea by Oil and Other Harmful Substances, 1983</w:t>
      </w:r>
    </w:p>
    <w:p w14:paraId="14D115B4" w14:textId="77777777" w:rsidR="009A52AF" w:rsidRPr="00DD21E1" w:rsidRDefault="009A52AF" w:rsidP="009A52AF">
      <w:pPr>
        <w:tabs>
          <w:tab w:val="clear" w:pos="567"/>
          <w:tab w:val="clear" w:pos="1134"/>
          <w:tab w:val="clear" w:pos="1701"/>
          <w:tab w:val="clear" w:pos="2268"/>
        </w:tabs>
        <w:spacing w:before="120" w:after="0" w:line="276" w:lineRule="auto"/>
        <w:rPr>
          <w:rFonts w:eastAsia="Calibri"/>
          <w:sz w:val="28"/>
          <w:szCs w:val="24"/>
          <w:lang w:eastAsia="en-US"/>
        </w:rPr>
      </w:pPr>
      <w:bookmarkStart w:id="6" w:name="_Hlk43470991"/>
      <w:r w:rsidRPr="00DD21E1">
        <w:rPr>
          <w:rFonts w:eastAsia="Calibri"/>
          <w:sz w:val="28"/>
          <w:szCs w:val="24"/>
          <w:lang w:eastAsia="en-US"/>
        </w:rPr>
        <w:t>Thirty-third Meeting of Bonn Agreement Contracting Parties</w:t>
      </w:r>
    </w:p>
    <w:p w14:paraId="343A5955" w14:textId="77777777" w:rsidR="009A52AF" w:rsidRPr="00DD21E1" w:rsidRDefault="009A52AF" w:rsidP="009A52AF">
      <w:pPr>
        <w:pBdr>
          <w:bottom w:val="single" w:sz="4" w:space="1" w:color="auto"/>
        </w:pBdr>
        <w:tabs>
          <w:tab w:val="clear" w:pos="567"/>
          <w:tab w:val="clear" w:pos="1134"/>
          <w:tab w:val="clear" w:pos="1701"/>
          <w:tab w:val="clear" w:pos="2268"/>
        </w:tabs>
        <w:spacing w:before="120" w:after="0" w:line="276" w:lineRule="auto"/>
        <w:rPr>
          <w:rFonts w:eastAsia="Calibri"/>
          <w:sz w:val="28"/>
          <w:szCs w:val="24"/>
          <w:lang w:eastAsia="en-US"/>
        </w:rPr>
      </w:pPr>
      <w:bookmarkStart w:id="7" w:name="_Hlk43470983"/>
      <w:bookmarkEnd w:id="3"/>
      <w:bookmarkEnd w:id="5"/>
      <w:bookmarkEnd w:id="6"/>
      <w:r w:rsidRPr="00DD21E1">
        <w:rPr>
          <w:rFonts w:eastAsia="Calibri"/>
          <w:sz w:val="28"/>
          <w:szCs w:val="24"/>
          <w:lang w:eastAsia="en-US"/>
        </w:rPr>
        <w:t>Videoconference: 22-23 September 2021</w:t>
      </w:r>
      <w:bookmarkEnd w:id="7"/>
    </w:p>
    <w:bookmarkEnd w:id="4"/>
    <w:p w14:paraId="3D81DB89" w14:textId="77777777" w:rsidR="009A52AF" w:rsidRPr="00F34984" w:rsidRDefault="009A52AF" w:rsidP="009A52AF"/>
    <w:p w14:paraId="39CFDF73" w14:textId="77777777" w:rsidR="009A52AF" w:rsidRPr="00F60F4C" w:rsidRDefault="009A52AF" w:rsidP="009A52AF">
      <w:pPr>
        <w:tabs>
          <w:tab w:val="clear" w:pos="567"/>
        </w:tabs>
        <w:spacing w:after="0"/>
        <w:ind w:right="72"/>
        <w:rPr>
          <w:rFonts w:asciiTheme="minorHAnsi" w:hAnsiTheme="minorHAnsi" w:cstheme="minorHAnsi"/>
          <w:sz w:val="40"/>
          <w:szCs w:val="40"/>
        </w:rPr>
      </w:pPr>
      <w:r w:rsidRPr="00F60F4C">
        <w:rPr>
          <w:rFonts w:asciiTheme="minorHAnsi" w:hAnsiTheme="minorHAnsi" w:cstheme="minorHAnsi"/>
          <w:sz w:val="40"/>
          <w:szCs w:val="40"/>
        </w:rPr>
        <w:t>Draft terms of reference for a</w:t>
      </w:r>
      <w:r>
        <w:rPr>
          <w:rFonts w:asciiTheme="minorHAnsi" w:hAnsiTheme="minorHAnsi" w:cstheme="minorHAnsi"/>
          <w:sz w:val="40"/>
          <w:szCs w:val="40"/>
        </w:rPr>
        <w:t xml:space="preserve"> Working Group on technical aspects </w:t>
      </w:r>
      <w:r w:rsidRPr="00BC2339">
        <w:rPr>
          <w:rFonts w:asciiTheme="minorHAnsi" w:hAnsiTheme="minorHAnsi" w:cstheme="minorHAnsi"/>
          <w:sz w:val="40"/>
          <w:szCs w:val="40"/>
        </w:rPr>
        <w:t>related to MARPOL Annex VI monitoring activities</w:t>
      </w:r>
      <w:r w:rsidRPr="00F60F4C">
        <w:rPr>
          <w:rFonts w:asciiTheme="minorHAnsi" w:hAnsiTheme="minorHAnsi" w:cstheme="minorHAnsi"/>
          <w:sz w:val="40"/>
          <w:szCs w:val="40"/>
        </w:rPr>
        <w:t xml:space="preserve"> </w:t>
      </w:r>
      <w:r>
        <w:rPr>
          <w:rFonts w:asciiTheme="minorHAnsi" w:hAnsiTheme="minorHAnsi" w:cstheme="minorHAnsi"/>
          <w:sz w:val="40"/>
          <w:szCs w:val="40"/>
        </w:rPr>
        <w:t>(MAVI-TWG</w:t>
      </w:r>
      <w:r w:rsidRPr="00F60F4C">
        <w:rPr>
          <w:rFonts w:asciiTheme="minorHAnsi" w:hAnsiTheme="minorHAnsi" w:cstheme="minorHAnsi"/>
          <w:sz w:val="40"/>
          <w:szCs w:val="40"/>
        </w:rPr>
        <w:t>)</w:t>
      </w:r>
    </w:p>
    <w:p w14:paraId="76BC1FF5" w14:textId="77777777" w:rsidR="009A52AF" w:rsidRPr="00F60F4C" w:rsidRDefault="009A52AF" w:rsidP="009A52AF">
      <w:pPr>
        <w:tabs>
          <w:tab w:val="clear" w:pos="567"/>
        </w:tabs>
        <w:spacing w:after="0"/>
        <w:ind w:right="72"/>
        <w:rPr>
          <w:rFonts w:asciiTheme="minorHAnsi" w:hAnsiTheme="minorHAnsi" w:cstheme="minorHAnsi"/>
          <w:b/>
          <w:szCs w:val="22"/>
        </w:rPr>
      </w:pPr>
    </w:p>
    <w:p w14:paraId="2A22EA66" w14:textId="77777777" w:rsidR="009A52AF" w:rsidRPr="00F60F4C" w:rsidRDefault="009A52AF" w:rsidP="009A52AF">
      <w:pPr>
        <w:rPr>
          <w:rFonts w:asciiTheme="minorHAnsi" w:hAnsiTheme="minorHAnsi" w:cstheme="minorHAnsi"/>
          <w:b/>
          <w:szCs w:val="22"/>
        </w:rPr>
      </w:pPr>
      <w:r w:rsidRPr="00F60F4C">
        <w:rPr>
          <w:rFonts w:asciiTheme="minorHAnsi" w:hAnsiTheme="minorHAnsi" w:cstheme="minorHAnsi"/>
          <w:b/>
          <w:szCs w:val="22"/>
        </w:rPr>
        <w:t>Background</w:t>
      </w:r>
    </w:p>
    <w:p w14:paraId="18871037" w14:textId="77777777" w:rsidR="009A52AF" w:rsidRDefault="009A52AF" w:rsidP="009A52AF">
      <w:pPr>
        <w:numPr>
          <w:ilvl w:val="0"/>
          <w:numId w:val="2"/>
        </w:numPr>
        <w:tabs>
          <w:tab w:val="clear" w:pos="1134"/>
          <w:tab w:val="clear" w:pos="1701"/>
          <w:tab w:val="clear" w:pos="2268"/>
        </w:tabs>
        <w:spacing w:before="120" w:after="0" w:line="280" w:lineRule="atLeast"/>
        <w:ind w:left="0" w:firstLine="0"/>
        <w:rPr>
          <w:lang w:val="en-US"/>
        </w:rPr>
      </w:pPr>
      <w:r w:rsidRPr="00C328D1">
        <w:rPr>
          <w:lang w:val="en-US"/>
        </w:rPr>
        <w:t xml:space="preserve">The </w:t>
      </w:r>
      <w:r>
        <w:rPr>
          <w:color w:val="000000"/>
        </w:rPr>
        <w:t>MARPOL Annex VI Experts Workshop 2021</w:t>
      </w:r>
      <w:r>
        <w:rPr>
          <w:lang w:val="en-US"/>
        </w:rPr>
        <w:t xml:space="preserve"> (</w:t>
      </w:r>
      <w:r>
        <w:rPr>
          <w:color w:val="000000"/>
        </w:rPr>
        <w:t xml:space="preserve">MAVIEWS 21) </w:t>
      </w:r>
      <w:r w:rsidRPr="00C328D1">
        <w:rPr>
          <w:lang w:val="en-US"/>
        </w:rPr>
        <w:t>was held on 2 – 5 February 2021 to develop a common strategy and operational procedures on MARPOL Annex VI monitoring activities in the Bonn Agreement area</w:t>
      </w:r>
      <w:r>
        <w:rPr>
          <w:lang w:val="en-US"/>
        </w:rPr>
        <w:t>. The Workshop</w:t>
      </w:r>
      <w:r w:rsidRPr="00C328D1">
        <w:rPr>
          <w:lang w:val="en-US"/>
        </w:rPr>
        <w:t xml:space="preserve"> concluded on a set of recommendations to be further explored through two working groups (WG) dealing with (1) strategic and operational aspects (MAVI-SOWG) and (2) technical aspects (MAVI-TWG) under the umbrella of OTSOPA. </w:t>
      </w:r>
    </w:p>
    <w:p w14:paraId="1085DA8F" w14:textId="77777777" w:rsidR="009A52AF" w:rsidRDefault="009A52AF" w:rsidP="009A52AF">
      <w:pPr>
        <w:numPr>
          <w:ilvl w:val="0"/>
          <w:numId w:val="2"/>
        </w:numPr>
        <w:tabs>
          <w:tab w:val="clear" w:pos="1134"/>
          <w:tab w:val="clear" w:pos="1701"/>
          <w:tab w:val="clear" w:pos="2268"/>
        </w:tabs>
        <w:spacing w:before="120" w:after="0" w:line="280" w:lineRule="atLeast"/>
        <w:ind w:left="0" w:firstLine="0"/>
        <w:rPr>
          <w:lang w:val="en-US"/>
        </w:rPr>
      </w:pPr>
      <w:r w:rsidRPr="00C328D1">
        <w:rPr>
          <w:lang w:val="en-US"/>
        </w:rPr>
        <w:t xml:space="preserve">As a follow up of the Workshop, Contracting Parties </w:t>
      </w:r>
      <w:r w:rsidRPr="00C328D1">
        <w:rPr>
          <w:color w:val="000000"/>
        </w:rPr>
        <w:t xml:space="preserve">were invited to submit the national representatives of the WGs and the </w:t>
      </w:r>
      <w:r w:rsidRPr="00C328D1">
        <w:rPr>
          <w:lang w:val="en-US"/>
        </w:rPr>
        <w:t xml:space="preserve">Co-convenors made a first attempt to subdivide the MAVIEWS 21 recommendations for both WG into a subset of actions that, on the one hand, are quick wins and in-kind actions (mainly on info exchange, regular tasks and national operations) that would require limited additional effort, and, on the other hand, actions that would need more resources and therefore </w:t>
      </w:r>
      <w:r>
        <w:rPr>
          <w:lang w:val="en-US"/>
        </w:rPr>
        <w:t xml:space="preserve">a project with </w:t>
      </w:r>
      <w:r w:rsidRPr="00C328D1">
        <w:rPr>
          <w:lang w:val="en-US"/>
        </w:rPr>
        <w:t>external funding.</w:t>
      </w:r>
    </w:p>
    <w:p w14:paraId="7A1E6BD9" w14:textId="77777777" w:rsidR="009A52AF" w:rsidRPr="00C328D1" w:rsidRDefault="009A52AF" w:rsidP="009A52AF">
      <w:pPr>
        <w:numPr>
          <w:ilvl w:val="0"/>
          <w:numId w:val="2"/>
        </w:numPr>
        <w:tabs>
          <w:tab w:val="clear" w:pos="1134"/>
          <w:tab w:val="clear" w:pos="1701"/>
          <w:tab w:val="clear" w:pos="2268"/>
        </w:tabs>
        <w:spacing w:before="120" w:after="0" w:line="280" w:lineRule="atLeast"/>
        <w:ind w:left="0" w:firstLine="0"/>
        <w:rPr>
          <w:lang w:val="en-US"/>
        </w:rPr>
      </w:pPr>
      <w:r>
        <w:rPr>
          <w:lang w:val="en-US"/>
        </w:rPr>
        <w:t>OTSOPA 2021 agreed to establish a WG technical</w:t>
      </w:r>
      <w:r w:rsidRPr="00B72B47">
        <w:rPr>
          <w:lang w:val="en-US"/>
        </w:rPr>
        <w:t xml:space="preserve"> aspects related to MARPOL Annex VI monitoring activities (MAVI-</w:t>
      </w:r>
      <w:r>
        <w:rPr>
          <w:lang w:val="en-US"/>
        </w:rPr>
        <w:t>TWG</w:t>
      </w:r>
      <w:r w:rsidRPr="00B72B47">
        <w:rPr>
          <w:lang w:val="en-US"/>
        </w:rPr>
        <w:t>)</w:t>
      </w:r>
      <w:r>
        <w:rPr>
          <w:lang w:val="en-US"/>
        </w:rPr>
        <w:t xml:space="preserve"> </w:t>
      </w:r>
      <w:r w:rsidRPr="00BE649E">
        <w:rPr>
          <w:rFonts w:asciiTheme="minorHAnsi" w:hAnsiTheme="minorHAnsi" w:cstheme="minorHAnsi"/>
          <w:szCs w:val="22"/>
        </w:rPr>
        <w:t xml:space="preserve">under </w:t>
      </w:r>
      <w:r>
        <w:rPr>
          <w:rFonts w:asciiTheme="minorHAnsi" w:hAnsiTheme="minorHAnsi" w:cstheme="minorHAnsi"/>
          <w:szCs w:val="22"/>
        </w:rPr>
        <w:t>the</w:t>
      </w:r>
      <w:r w:rsidRPr="00BE649E">
        <w:rPr>
          <w:rFonts w:asciiTheme="minorHAnsi" w:hAnsiTheme="minorHAnsi" w:cstheme="minorHAnsi"/>
          <w:szCs w:val="22"/>
        </w:rPr>
        <w:t xml:space="preserve"> Terms of Reference</w:t>
      </w:r>
      <w:r>
        <w:rPr>
          <w:rFonts w:asciiTheme="minorHAnsi" w:hAnsiTheme="minorHAnsi" w:cstheme="minorHAnsi"/>
          <w:szCs w:val="22"/>
        </w:rPr>
        <w:t xml:space="preserve"> as in Annex 7 </w:t>
      </w:r>
      <w:r w:rsidRPr="00556F0B">
        <w:rPr>
          <w:rFonts w:asciiTheme="minorHAnsi" w:hAnsiTheme="minorHAnsi" w:cstheme="minorHAnsi"/>
          <w:szCs w:val="22"/>
        </w:rPr>
        <w:t xml:space="preserve">of </w:t>
      </w:r>
      <w:r>
        <w:rPr>
          <w:rFonts w:asciiTheme="minorHAnsi" w:hAnsiTheme="minorHAnsi" w:cstheme="minorHAnsi"/>
          <w:szCs w:val="22"/>
        </w:rPr>
        <w:t>OTSOPA</w:t>
      </w:r>
      <w:r w:rsidRPr="00556F0B">
        <w:rPr>
          <w:rFonts w:asciiTheme="minorHAnsi" w:hAnsiTheme="minorHAnsi" w:cstheme="minorHAnsi"/>
          <w:szCs w:val="22"/>
        </w:rPr>
        <w:t xml:space="preserve"> 202</w:t>
      </w:r>
      <w:r>
        <w:rPr>
          <w:rFonts w:asciiTheme="minorHAnsi" w:hAnsiTheme="minorHAnsi" w:cstheme="minorHAnsi"/>
          <w:szCs w:val="22"/>
        </w:rPr>
        <w:t>1</w:t>
      </w:r>
      <w:r w:rsidRPr="00556F0B">
        <w:rPr>
          <w:rFonts w:asciiTheme="minorHAnsi" w:hAnsiTheme="minorHAnsi" w:cstheme="minorHAnsi"/>
          <w:szCs w:val="22"/>
        </w:rPr>
        <w:t xml:space="preserve"> </w:t>
      </w:r>
      <w:r>
        <w:rPr>
          <w:rFonts w:asciiTheme="minorHAnsi" w:hAnsiTheme="minorHAnsi" w:cstheme="minorHAnsi"/>
          <w:szCs w:val="22"/>
        </w:rPr>
        <w:t>S</w:t>
      </w:r>
      <w:r w:rsidRPr="00556F0B">
        <w:rPr>
          <w:rFonts w:asciiTheme="minorHAnsi" w:hAnsiTheme="minorHAnsi" w:cstheme="minorHAnsi"/>
          <w:szCs w:val="22"/>
        </w:rPr>
        <w:t xml:space="preserve">ummary </w:t>
      </w:r>
      <w:r>
        <w:rPr>
          <w:rFonts w:asciiTheme="minorHAnsi" w:hAnsiTheme="minorHAnsi" w:cstheme="minorHAnsi"/>
          <w:szCs w:val="22"/>
        </w:rPr>
        <w:t>R</w:t>
      </w:r>
      <w:r w:rsidRPr="00556F0B">
        <w:rPr>
          <w:rFonts w:asciiTheme="minorHAnsi" w:hAnsiTheme="minorHAnsi" w:cstheme="minorHAnsi"/>
          <w:szCs w:val="22"/>
        </w:rPr>
        <w:t>ecord</w:t>
      </w:r>
      <w:r>
        <w:rPr>
          <w:rFonts w:asciiTheme="minorHAnsi" w:hAnsiTheme="minorHAnsi" w:cstheme="minorHAnsi"/>
          <w:szCs w:val="22"/>
        </w:rPr>
        <w:t>.</w:t>
      </w:r>
    </w:p>
    <w:p w14:paraId="7C1C641B" w14:textId="77777777" w:rsidR="009A52AF" w:rsidRDefault="009A52AF" w:rsidP="009A52AF">
      <w:pPr>
        <w:spacing w:before="120" w:after="0"/>
        <w:rPr>
          <w:rFonts w:asciiTheme="minorHAnsi" w:hAnsiTheme="minorHAnsi" w:cstheme="minorHAnsi"/>
          <w:b/>
        </w:rPr>
      </w:pPr>
      <w:r w:rsidRPr="00F60F4C">
        <w:rPr>
          <w:rFonts w:asciiTheme="minorHAnsi" w:hAnsiTheme="minorHAnsi" w:cstheme="minorHAnsi"/>
          <w:b/>
        </w:rPr>
        <w:t>Objective</w:t>
      </w:r>
    </w:p>
    <w:p w14:paraId="68395ECF" w14:textId="77777777" w:rsidR="009A52AF" w:rsidRDefault="009A52AF" w:rsidP="009A52AF">
      <w:pPr>
        <w:numPr>
          <w:ilvl w:val="0"/>
          <w:numId w:val="2"/>
        </w:numPr>
        <w:tabs>
          <w:tab w:val="clear" w:pos="1134"/>
          <w:tab w:val="clear" w:pos="1701"/>
          <w:tab w:val="clear" w:pos="2268"/>
        </w:tabs>
        <w:spacing w:before="120" w:after="0" w:line="280" w:lineRule="atLeast"/>
        <w:ind w:left="0" w:firstLine="0"/>
        <w:rPr>
          <w:lang w:val="en-US"/>
        </w:rPr>
      </w:pPr>
      <w:r w:rsidRPr="00AD56A5">
        <w:rPr>
          <w:lang w:val="en-US"/>
        </w:rPr>
        <w:t xml:space="preserve">To address the </w:t>
      </w:r>
      <w:r>
        <w:rPr>
          <w:color w:val="000000"/>
        </w:rPr>
        <w:t xml:space="preserve">quick win or in-kind actions on </w:t>
      </w:r>
      <w:r>
        <w:t>technical</w:t>
      </w:r>
      <w:r>
        <w:rPr>
          <w:lang w:val="en-US"/>
        </w:rPr>
        <w:t xml:space="preserve"> aspects related to </w:t>
      </w:r>
      <w:r w:rsidRPr="00C328D1">
        <w:rPr>
          <w:lang w:val="en-US"/>
        </w:rPr>
        <w:t>MARPOL Annex VI monitoring activities in the Bonn Agreement area</w:t>
      </w:r>
      <w:r w:rsidRPr="00AD56A5">
        <w:rPr>
          <w:color w:val="000000"/>
        </w:rPr>
        <w:t xml:space="preserve"> </w:t>
      </w:r>
      <w:r>
        <w:rPr>
          <w:color w:val="000000"/>
        </w:rPr>
        <w:t xml:space="preserve">listed under </w:t>
      </w:r>
      <w:r>
        <w:rPr>
          <w:rFonts w:cs="Calibri"/>
          <w:color w:val="000000"/>
        </w:rPr>
        <w:t>§9</w:t>
      </w:r>
      <w:r>
        <w:rPr>
          <w:color w:val="000000"/>
        </w:rPr>
        <w:t>, distributing the workload among the Contracting Parties</w:t>
      </w:r>
      <w:r>
        <w:rPr>
          <w:lang w:val="en-US"/>
        </w:rPr>
        <w:t>.</w:t>
      </w:r>
    </w:p>
    <w:p w14:paraId="7BF726E7" w14:textId="77777777" w:rsidR="009A52AF" w:rsidRPr="0001648D" w:rsidRDefault="009A52AF" w:rsidP="009A52AF">
      <w:pPr>
        <w:numPr>
          <w:ilvl w:val="0"/>
          <w:numId w:val="2"/>
        </w:numPr>
        <w:tabs>
          <w:tab w:val="clear" w:pos="1134"/>
          <w:tab w:val="clear" w:pos="1701"/>
          <w:tab w:val="clear" w:pos="2268"/>
        </w:tabs>
        <w:spacing w:before="120" w:after="0" w:line="280" w:lineRule="atLeast"/>
        <w:ind w:left="0" w:firstLine="0"/>
        <w:rPr>
          <w:lang w:val="en-US"/>
        </w:rPr>
      </w:pPr>
      <w:r>
        <w:rPr>
          <w:lang w:val="en-US"/>
        </w:rPr>
        <w:t xml:space="preserve">To support the potential project coordinator in delivering the actions </w:t>
      </w:r>
      <w:r w:rsidRPr="00AD56A5">
        <w:rPr>
          <w:lang w:val="en-US"/>
        </w:rPr>
        <w:t xml:space="preserve">which </w:t>
      </w:r>
      <w:r>
        <w:rPr>
          <w:lang w:val="en-US"/>
        </w:rPr>
        <w:t xml:space="preserve">might require </w:t>
      </w:r>
      <w:r w:rsidRPr="00AD56A5">
        <w:rPr>
          <w:lang w:val="en-US"/>
        </w:rPr>
        <w:t xml:space="preserve">external funding </w:t>
      </w:r>
      <w:r>
        <w:rPr>
          <w:lang w:val="en-US"/>
        </w:rPr>
        <w:t xml:space="preserve">listed under </w:t>
      </w:r>
      <w:r>
        <w:rPr>
          <w:rFonts w:cs="Calibri"/>
          <w:color w:val="000000"/>
        </w:rPr>
        <w:t>§10</w:t>
      </w:r>
      <w:r>
        <w:rPr>
          <w:color w:val="000000"/>
        </w:rPr>
        <w:t>.</w:t>
      </w:r>
    </w:p>
    <w:p w14:paraId="539C67D9" w14:textId="77777777" w:rsidR="009A52AF" w:rsidRPr="00AD56A5" w:rsidRDefault="009A52AF" w:rsidP="009A52AF">
      <w:pPr>
        <w:numPr>
          <w:ilvl w:val="0"/>
          <w:numId w:val="2"/>
        </w:numPr>
        <w:tabs>
          <w:tab w:val="clear" w:pos="1134"/>
          <w:tab w:val="clear" w:pos="1701"/>
          <w:tab w:val="clear" w:pos="2268"/>
        </w:tabs>
        <w:spacing w:before="120" w:after="0" w:line="280" w:lineRule="atLeast"/>
        <w:ind w:left="0" w:firstLine="0"/>
        <w:rPr>
          <w:lang w:val="en-US"/>
        </w:rPr>
      </w:pPr>
      <w:r>
        <w:rPr>
          <w:color w:val="000000"/>
        </w:rPr>
        <w:t>To liaise with MAVI-SOWG to address those recommended actions which are both a strategic/operational, and a technical question or challenge (e.g. use of a threshold; standardised reporting; intercomparison and validation efforts, etc.), and imply some degree of coordination.</w:t>
      </w:r>
    </w:p>
    <w:p w14:paraId="3248DA75" w14:textId="77777777" w:rsidR="009A52AF" w:rsidRPr="001F2F89" w:rsidRDefault="009A52AF" w:rsidP="009A52AF">
      <w:pPr>
        <w:keepNext/>
        <w:spacing w:before="120" w:after="0"/>
        <w:rPr>
          <w:rFonts w:asciiTheme="minorHAnsi" w:hAnsiTheme="minorHAnsi" w:cstheme="minorHAnsi"/>
          <w:b/>
        </w:rPr>
      </w:pPr>
      <w:r w:rsidRPr="001F2F89">
        <w:rPr>
          <w:rFonts w:asciiTheme="minorHAnsi" w:hAnsiTheme="minorHAnsi" w:cstheme="minorHAnsi"/>
          <w:b/>
        </w:rPr>
        <w:t>Participants</w:t>
      </w:r>
    </w:p>
    <w:p w14:paraId="2FF18030" w14:textId="77777777" w:rsidR="009A52AF" w:rsidRDefault="009A52AF" w:rsidP="009A52AF">
      <w:pPr>
        <w:numPr>
          <w:ilvl w:val="0"/>
          <w:numId w:val="2"/>
        </w:numPr>
        <w:tabs>
          <w:tab w:val="clear" w:pos="1134"/>
          <w:tab w:val="clear" w:pos="1701"/>
          <w:tab w:val="clear" w:pos="2268"/>
        </w:tabs>
        <w:spacing w:before="120" w:after="0" w:line="280" w:lineRule="atLeast"/>
        <w:ind w:left="0" w:firstLine="0"/>
        <w:rPr>
          <w:lang w:val="en-US"/>
        </w:rPr>
      </w:pPr>
      <w:r w:rsidRPr="00756B07">
        <w:rPr>
          <w:lang w:val="en-US"/>
        </w:rPr>
        <w:t xml:space="preserve">The ICG will be co-convened by </w:t>
      </w:r>
      <w:r>
        <w:rPr>
          <w:rFonts w:ascii="Verdana" w:hAnsi="Verdana" w:cs="Calibri"/>
          <w:sz w:val="18"/>
          <w:szCs w:val="18"/>
          <w:lang w:val="en-US"/>
        </w:rPr>
        <w:t>Ward Van Roy</w:t>
      </w:r>
      <w:r>
        <w:rPr>
          <w:lang w:val="en-US"/>
        </w:rPr>
        <w:t xml:space="preserve"> </w:t>
      </w:r>
      <w:r w:rsidRPr="00756B07">
        <w:rPr>
          <w:lang w:val="en-US"/>
        </w:rPr>
        <w:t>(</w:t>
      </w:r>
      <w:r>
        <w:rPr>
          <w:lang w:val="en-US"/>
        </w:rPr>
        <w:t>Belgium</w:t>
      </w:r>
      <w:r w:rsidRPr="00756B07">
        <w:rPr>
          <w:lang w:val="en-US"/>
        </w:rPr>
        <w:t xml:space="preserve">) and </w:t>
      </w:r>
      <w:r>
        <w:rPr>
          <w:rFonts w:ascii="Verdana" w:hAnsi="Verdana" w:cs="Calibri"/>
          <w:sz w:val="18"/>
          <w:szCs w:val="18"/>
          <w:lang w:val="en-US"/>
        </w:rPr>
        <w:t>Nils Nordholm</w:t>
      </w:r>
      <w:r w:rsidRPr="00756B07">
        <w:rPr>
          <w:lang w:val="en-US"/>
        </w:rPr>
        <w:t xml:space="preserve"> (</w:t>
      </w:r>
      <w:r>
        <w:rPr>
          <w:lang w:val="en-US"/>
        </w:rPr>
        <w:t>Denmark</w:t>
      </w:r>
      <w:r w:rsidRPr="00756B07">
        <w:rPr>
          <w:lang w:val="en-US"/>
        </w:rPr>
        <w:t xml:space="preserve">), with participation from </w:t>
      </w:r>
      <w:r>
        <w:rPr>
          <w:lang w:val="en-US"/>
        </w:rPr>
        <w:t>the EU (EMSA), Germany, Ireland and Spain and the co-convenors of the MAVI-SOWG. Participants are listed in Annex 1.</w:t>
      </w:r>
    </w:p>
    <w:p w14:paraId="5ECF886D" w14:textId="77777777" w:rsidR="009A52AF" w:rsidRPr="00AD56A5" w:rsidRDefault="009A52AF" w:rsidP="009A52AF">
      <w:pPr>
        <w:keepNext/>
        <w:spacing w:before="120" w:after="0"/>
        <w:rPr>
          <w:rFonts w:asciiTheme="minorHAnsi" w:hAnsiTheme="minorHAnsi" w:cstheme="minorHAnsi"/>
          <w:b/>
        </w:rPr>
      </w:pPr>
      <w:r w:rsidRPr="00AD56A5">
        <w:rPr>
          <w:rFonts w:asciiTheme="minorHAnsi" w:hAnsiTheme="minorHAnsi" w:cstheme="minorHAnsi"/>
          <w:b/>
        </w:rPr>
        <w:lastRenderedPageBreak/>
        <w:t>Work arrangements</w:t>
      </w:r>
    </w:p>
    <w:p w14:paraId="5AB1B961" w14:textId="77777777" w:rsidR="009A52AF" w:rsidRDefault="009A52AF" w:rsidP="009A52AF">
      <w:pPr>
        <w:numPr>
          <w:ilvl w:val="0"/>
          <w:numId w:val="2"/>
        </w:numPr>
        <w:tabs>
          <w:tab w:val="clear" w:pos="1134"/>
          <w:tab w:val="clear" w:pos="1701"/>
          <w:tab w:val="clear" w:pos="2268"/>
        </w:tabs>
        <w:spacing w:before="120" w:after="0" w:line="280" w:lineRule="atLeast"/>
        <w:ind w:left="0" w:firstLine="0"/>
        <w:rPr>
          <w:lang w:val="en-US"/>
        </w:rPr>
      </w:pPr>
      <w:r>
        <w:rPr>
          <w:lang w:val="en-US"/>
        </w:rPr>
        <w:t xml:space="preserve">The WG will work </w:t>
      </w:r>
      <w:r w:rsidRPr="00756B07">
        <w:rPr>
          <w:lang w:val="en-US"/>
        </w:rPr>
        <w:t>via correspondence a</w:t>
      </w:r>
      <w:r>
        <w:rPr>
          <w:lang w:val="en-US"/>
        </w:rPr>
        <w:t>nd hold</w:t>
      </w:r>
      <w:r w:rsidRPr="00AD56A5">
        <w:rPr>
          <w:lang w:val="en-US"/>
        </w:rPr>
        <w:t xml:space="preserve"> </w:t>
      </w:r>
      <w:r>
        <w:rPr>
          <w:lang w:val="en-US"/>
        </w:rPr>
        <w:t>the following meetings:</w:t>
      </w:r>
    </w:p>
    <w:p w14:paraId="6F219AC6" w14:textId="77777777" w:rsidR="009A52AF" w:rsidRDefault="009A52AF" w:rsidP="009A52AF">
      <w:pPr>
        <w:numPr>
          <w:ilvl w:val="1"/>
          <w:numId w:val="2"/>
        </w:numPr>
        <w:tabs>
          <w:tab w:val="clear" w:pos="1134"/>
          <w:tab w:val="clear" w:pos="1701"/>
          <w:tab w:val="clear" w:pos="2268"/>
        </w:tabs>
        <w:spacing w:before="120" w:after="0" w:line="280" w:lineRule="atLeast"/>
        <w:ind w:left="1134" w:hanging="567"/>
        <w:rPr>
          <w:lang w:val="en-US"/>
        </w:rPr>
      </w:pPr>
      <w:r w:rsidRPr="00AD56A5">
        <w:rPr>
          <w:lang w:val="en-US"/>
        </w:rPr>
        <w:t>monthly online WG meetings</w:t>
      </w:r>
      <w:r>
        <w:rPr>
          <w:lang w:val="en-US"/>
        </w:rPr>
        <w:t xml:space="preserve"> in the startup phase and bimonthly afterwards;</w:t>
      </w:r>
    </w:p>
    <w:p w14:paraId="773B8447" w14:textId="77777777" w:rsidR="009A52AF" w:rsidRDefault="009A52AF" w:rsidP="009A52AF">
      <w:pPr>
        <w:numPr>
          <w:ilvl w:val="1"/>
          <w:numId w:val="2"/>
        </w:numPr>
        <w:tabs>
          <w:tab w:val="clear" w:pos="1134"/>
          <w:tab w:val="clear" w:pos="1701"/>
          <w:tab w:val="clear" w:pos="2268"/>
        </w:tabs>
        <w:spacing w:before="120" w:after="0" w:line="280" w:lineRule="atLeast"/>
        <w:ind w:left="1134" w:hanging="567"/>
        <w:rPr>
          <w:lang w:val="en-US"/>
        </w:rPr>
      </w:pPr>
      <w:r w:rsidRPr="00AD56A5">
        <w:rPr>
          <w:color w:val="000000"/>
        </w:rPr>
        <w:t xml:space="preserve">an annual physical inter WG meeting (e.g. prior or back to back to OTSOPA) (Belgium is of the opinion that this coordination between both WGs could even be further optimized when </w:t>
      </w:r>
      <w:r>
        <w:t>needed, by for example bimonthly online inter WG-leader meetings): and</w:t>
      </w:r>
    </w:p>
    <w:p w14:paraId="414E9CCA" w14:textId="77777777" w:rsidR="009A52AF" w:rsidRPr="00AD56A5" w:rsidRDefault="009A52AF" w:rsidP="009A52AF">
      <w:pPr>
        <w:numPr>
          <w:ilvl w:val="1"/>
          <w:numId w:val="2"/>
        </w:numPr>
        <w:tabs>
          <w:tab w:val="clear" w:pos="1134"/>
          <w:tab w:val="clear" w:pos="1701"/>
          <w:tab w:val="clear" w:pos="2268"/>
        </w:tabs>
        <w:spacing w:before="120" w:after="0" w:line="280" w:lineRule="atLeast"/>
        <w:ind w:left="1134" w:hanging="567"/>
        <w:rPr>
          <w:lang w:val="en-US"/>
        </w:rPr>
      </w:pPr>
      <w:r w:rsidRPr="00AD56A5">
        <w:rPr>
          <w:color w:val="000000"/>
        </w:rPr>
        <w:t xml:space="preserve">semestrial meetings between the OTSOPA Chair, WG leaders and the (potential) project coordinator. </w:t>
      </w:r>
    </w:p>
    <w:p w14:paraId="7FE1DB1A" w14:textId="77777777" w:rsidR="009A52AF" w:rsidRDefault="009A52AF" w:rsidP="009A52AF">
      <w:pPr>
        <w:keepNext/>
        <w:spacing w:before="120" w:after="0"/>
        <w:rPr>
          <w:rFonts w:asciiTheme="minorHAnsi" w:hAnsiTheme="minorHAnsi" w:cstheme="minorHAnsi"/>
          <w:b/>
        </w:rPr>
      </w:pPr>
      <w:r>
        <w:rPr>
          <w:rFonts w:asciiTheme="minorHAnsi" w:hAnsiTheme="minorHAnsi" w:cstheme="minorHAnsi"/>
          <w:b/>
        </w:rPr>
        <w:t>Q</w:t>
      </w:r>
      <w:r w:rsidRPr="0001648D">
        <w:rPr>
          <w:rFonts w:asciiTheme="minorHAnsi" w:hAnsiTheme="minorHAnsi" w:cstheme="minorHAnsi"/>
          <w:b/>
        </w:rPr>
        <w:t>uick wins and in-kind actions</w:t>
      </w:r>
    </w:p>
    <w:p w14:paraId="169F7FF7" w14:textId="77777777" w:rsidR="009A52AF" w:rsidRDefault="009A52AF" w:rsidP="009A52AF">
      <w:pPr>
        <w:numPr>
          <w:ilvl w:val="0"/>
          <w:numId w:val="2"/>
        </w:numPr>
        <w:tabs>
          <w:tab w:val="clear" w:pos="1134"/>
          <w:tab w:val="clear" w:pos="1701"/>
          <w:tab w:val="clear" w:pos="2268"/>
        </w:tabs>
        <w:spacing w:before="120" w:after="0" w:line="280" w:lineRule="atLeast"/>
        <w:ind w:left="0" w:firstLine="0"/>
        <w:rPr>
          <w:lang w:val="en-US"/>
        </w:rPr>
      </w:pPr>
      <w:r w:rsidRPr="0001648D">
        <w:rPr>
          <w:lang w:val="en-US"/>
        </w:rPr>
        <w:t>The WG will address the following Quick wins and in-kind actions</w:t>
      </w:r>
      <w:r>
        <w:rPr>
          <w:lang w:val="en-US"/>
        </w:rPr>
        <w:t>:</w:t>
      </w:r>
    </w:p>
    <w:p w14:paraId="7FFCE298" w14:textId="77777777" w:rsidR="009A52AF" w:rsidRPr="00BC2339" w:rsidRDefault="009A52AF" w:rsidP="009A52AF">
      <w:pPr>
        <w:numPr>
          <w:ilvl w:val="1"/>
          <w:numId w:val="2"/>
        </w:numPr>
        <w:tabs>
          <w:tab w:val="clear" w:pos="567"/>
          <w:tab w:val="clear" w:pos="1701"/>
          <w:tab w:val="clear" w:pos="2268"/>
        </w:tabs>
        <w:spacing w:before="120" w:after="0" w:line="280" w:lineRule="atLeast"/>
        <w:ind w:left="1134" w:hanging="567"/>
      </w:pPr>
      <w:r>
        <w:t xml:space="preserve">Consider the recent sensor developments, also for drones (e.g. optical/laser sensors). </w:t>
      </w:r>
    </w:p>
    <w:p w14:paraId="238DE671" w14:textId="77777777" w:rsidR="009A52AF" w:rsidRDefault="009A52AF" w:rsidP="009A52AF">
      <w:pPr>
        <w:numPr>
          <w:ilvl w:val="1"/>
          <w:numId w:val="2"/>
        </w:numPr>
        <w:tabs>
          <w:tab w:val="clear" w:pos="567"/>
          <w:tab w:val="clear" w:pos="1701"/>
          <w:tab w:val="clear" w:pos="2268"/>
        </w:tabs>
        <w:spacing w:before="120" w:after="0" w:line="280" w:lineRule="atLeast"/>
        <w:ind w:left="1134" w:hanging="567"/>
      </w:pPr>
      <w:r>
        <w:t xml:space="preserve">Take into account national experience, ongoing operations and their recommendations, and the outcome of previous projects such as SCIPPER and COMPMON. </w:t>
      </w:r>
    </w:p>
    <w:p w14:paraId="15CE5565" w14:textId="77777777" w:rsidR="009A52AF" w:rsidRDefault="009A52AF" w:rsidP="009A52AF">
      <w:pPr>
        <w:numPr>
          <w:ilvl w:val="1"/>
          <w:numId w:val="2"/>
        </w:numPr>
        <w:tabs>
          <w:tab w:val="clear" w:pos="567"/>
          <w:tab w:val="clear" w:pos="1701"/>
          <w:tab w:val="clear" w:pos="2268"/>
        </w:tabs>
        <w:spacing w:before="120" w:after="0" w:line="280" w:lineRule="atLeast"/>
        <w:ind w:left="1134" w:hanging="567"/>
      </w:pPr>
      <w:r>
        <w:t>Sharing best practices on NOx measurements and reporting (building upon the experience of Belgium and Germany).</w:t>
      </w:r>
    </w:p>
    <w:p w14:paraId="27AEBD17" w14:textId="77777777" w:rsidR="009A52AF" w:rsidRDefault="009A52AF" w:rsidP="009A52AF">
      <w:pPr>
        <w:keepNext/>
        <w:spacing w:before="240" w:after="0"/>
        <w:rPr>
          <w:rFonts w:asciiTheme="minorHAnsi" w:hAnsiTheme="minorHAnsi" w:cstheme="minorHAnsi"/>
          <w:b/>
        </w:rPr>
      </w:pPr>
      <w:r w:rsidRPr="0001648D">
        <w:rPr>
          <w:rFonts w:asciiTheme="minorHAnsi" w:hAnsiTheme="minorHAnsi" w:cstheme="minorHAnsi"/>
          <w:b/>
        </w:rPr>
        <w:t>Actions for which external funding might need to be considered (possible project-based actions)</w:t>
      </w:r>
    </w:p>
    <w:p w14:paraId="7598D413" w14:textId="77777777" w:rsidR="009A52AF" w:rsidRDefault="009A52AF" w:rsidP="009A52AF">
      <w:pPr>
        <w:numPr>
          <w:ilvl w:val="0"/>
          <w:numId w:val="2"/>
        </w:numPr>
        <w:tabs>
          <w:tab w:val="clear" w:pos="1134"/>
          <w:tab w:val="clear" w:pos="1701"/>
          <w:tab w:val="clear" w:pos="2268"/>
        </w:tabs>
        <w:spacing w:before="120" w:after="0" w:line="280" w:lineRule="atLeast"/>
        <w:ind w:left="0" w:firstLine="0"/>
        <w:rPr>
          <w:lang w:val="en-US"/>
        </w:rPr>
      </w:pPr>
      <w:r w:rsidRPr="0001648D">
        <w:rPr>
          <w:lang w:val="en-US"/>
        </w:rPr>
        <w:t xml:space="preserve">The WG will </w:t>
      </w:r>
      <w:r>
        <w:rPr>
          <w:lang w:val="en-US"/>
        </w:rPr>
        <w:t>support the project coordinator in the delivery of the following actions:</w:t>
      </w:r>
    </w:p>
    <w:p w14:paraId="030CCA01" w14:textId="77777777" w:rsidR="009A52AF" w:rsidRDefault="009A52AF" w:rsidP="009A52AF">
      <w:pPr>
        <w:numPr>
          <w:ilvl w:val="1"/>
          <w:numId w:val="2"/>
        </w:numPr>
        <w:tabs>
          <w:tab w:val="clear" w:pos="567"/>
          <w:tab w:val="clear" w:pos="1701"/>
          <w:tab w:val="clear" w:pos="2268"/>
        </w:tabs>
        <w:spacing w:before="120" w:after="0" w:line="280" w:lineRule="atLeast"/>
        <w:ind w:left="1134" w:hanging="567"/>
      </w:pPr>
      <w:r>
        <w:t>Consider certification/standardization for SOx and NOx measurements (e.g. creation of CEN</w:t>
      </w:r>
      <w:r w:rsidRPr="00BC2339">
        <w:rPr>
          <w:vertAlign w:val="superscript"/>
        </w:rPr>
        <w:footnoteReference w:id="1"/>
      </w:r>
      <w:r>
        <w:t xml:space="preserve"> WG).</w:t>
      </w:r>
    </w:p>
    <w:p w14:paraId="1CAE2776" w14:textId="77777777" w:rsidR="009A52AF" w:rsidRPr="00BC2339" w:rsidRDefault="009A52AF" w:rsidP="009A52AF">
      <w:pPr>
        <w:numPr>
          <w:ilvl w:val="1"/>
          <w:numId w:val="2"/>
        </w:numPr>
        <w:tabs>
          <w:tab w:val="clear" w:pos="567"/>
          <w:tab w:val="clear" w:pos="1701"/>
          <w:tab w:val="clear" w:pos="2268"/>
        </w:tabs>
        <w:spacing w:before="120" w:after="0" w:line="280" w:lineRule="atLeast"/>
        <w:ind w:left="1134" w:hanging="567"/>
      </w:pPr>
      <w:r>
        <w:t xml:space="preserve">Agree on a common methodology for the qualification of errors in measurements: </w:t>
      </w:r>
    </w:p>
    <w:p w14:paraId="602C9BF4" w14:textId="77777777" w:rsidR="009A52AF" w:rsidRDefault="009A52AF" w:rsidP="009A52AF">
      <w:pPr>
        <w:numPr>
          <w:ilvl w:val="1"/>
          <w:numId w:val="19"/>
        </w:numPr>
        <w:tabs>
          <w:tab w:val="clear" w:pos="567"/>
          <w:tab w:val="clear" w:pos="1701"/>
          <w:tab w:val="clear" w:pos="2268"/>
        </w:tabs>
        <w:spacing w:before="120" w:after="0" w:line="280" w:lineRule="atLeast"/>
        <w:ind w:left="1701"/>
      </w:pPr>
      <w:r>
        <w:t>Qualitative approach (flags including the degree of confidence);</w:t>
      </w:r>
    </w:p>
    <w:p w14:paraId="2A67D86D" w14:textId="77777777" w:rsidR="009A52AF" w:rsidRDefault="009A52AF" w:rsidP="009A52AF">
      <w:pPr>
        <w:numPr>
          <w:ilvl w:val="1"/>
          <w:numId w:val="19"/>
        </w:numPr>
        <w:tabs>
          <w:tab w:val="clear" w:pos="567"/>
          <w:tab w:val="clear" w:pos="1701"/>
          <w:tab w:val="clear" w:pos="2268"/>
        </w:tabs>
        <w:spacing w:before="120" w:after="0" w:line="280" w:lineRule="atLeast"/>
        <w:ind w:left="1701"/>
      </w:pPr>
      <w:r>
        <w:t xml:space="preserve">Quantitative approach (values including uncertainties) . </w:t>
      </w:r>
    </w:p>
    <w:p w14:paraId="6CE69FF1" w14:textId="77777777" w:rsidR="009A52AF" w:rsidRDefault="009A52AF" w:rsidP="009A52AF">
      <w:pPr>
        <w:numPr>
          <w:ilvl w:val="1"/>
          <w:numId w:val="2"/>
        </w:numPr>
        <w:tabs>
          <w:tab w:val="clear" w:pos="567"/>
          <w:tab w:val="clear" w:pos="1701"/>
          <w:tab w:val="clear" w:pos="2268"/>
        </w:tabs>
        <w:spacing w:before="120" w:after="0" w:line="280" w:lineRule="atLeast"/>
        <w:ind w:left="1134" w:hanging="567"/>
      </w:pPr>
      <w:r>
        <w:t xml:space="preserve">Define a common approach to calibrate sniffers. </w:t>
      </w:r>
    </w:p>
    <w:p w14:paraId="6692D24A" w14:textId="77777777" w:rsidR="009A52AF" w:rsidRDefault="009A52AF" w:rsidP="009A52AF">
      <w:pPr>
        <w:numPr>
          <w:ilvl w:val="1"/>
          <w:numId w:val="2"/>
        </w:numPr>
        <w:tabs>
          <w:tab w:val="clear" w:pos="567"/>
          <w:tab w:val="clear" w:pos="1701"/>
          <w:tab w:val="clear" w:pos="2268"/>
        </w:tabs>
        <w:spacing w:before="120" w:after="0" w:line="280" w:lineRule="atLeast"/>
        <w:ind w:left="1134" w:hanging="567"/>
      </w:pPr>
      <w:r>
        <w:t xml:space="preserve">Agree on alert thresholds: Start from IMO thresholds 0,1% and 0,5% plus an additional margin. </w:t>
      </w:r>
    </w:p>
    <w:p w14:paraId="299A56E6" w14:textId="77777777" w:rsidR="009A52AF" w:rsidRDefault="009A52AF" w:rsidP="009A52AF">
      <w:pPr>
        <w:numPr>
          <w:ilvl w:val="1"/>
          <w:numId w:val="2"/>
        </w:numPr>
        <w:tabs>
          <w:tab w:val="clear" w:pos="567"/>
          <w:tab w:val="clear" w:pos="1701"/>
          <w:tab w:val="clear" w:pos="2268"/>
        </w:tabs>
        <w:spacing w:before="120" w:after="0" w:line="280" w:lineRule="atLeast"/>
        <w:ind w:left="1134" w:hanging="567"/>
      </w:pPr>
      <w:r>
        <w:t>Run (regular) validation campaigns combining different sensors at BA level (for both, SOx and NOx) to facilitate sharing of data and methodologies which will help identify commonalities in order to check uncertainties between sensors.</w:t>
      </w:r>
    </w:p>
    <w:p w14:paraId="21046C41" w14:textId="77777777" w:rsidR="009A52AF" w:rsidRDefault="009A52AF" w:rsidP="009A52AF">
      <w:pPr>
        <w:numPr>
          <w:ilvl w:val="1"/>
          <w:numId w:val="2"/>
        </w:numPr>
        <w:tabs>
          <w:tab w:val="clear" w:pos="567"/>
          <w:tab w:val="clear" w:pos="1701"/>
          <w:tab w:val="clear" w:pos="2268"/>
        </w:tabs>
        <w:spacing w:before="120" w:after="0" w:line="280" w:lineRule="atLeast"/>
        <w:ind w:left="1134" w:hanging="567"/>
      </w:pPr>
      <w:r>
        <w:t>Promote taking NOx remote measurements, building upon the experience of Belgium and Germany.</w:t>
      </w:r>
    </w:p>
    <w:p w14:paraId="41B9C404" w14:textId="77777777" w:rsidR="009A52AF" w:rsidRDefault="009A52AF" w:rsidP="009A52AF">
      <w:pPr>
        <w:numPr>
          <w:ilvl w:val="1"/>
          <w:numId w:val="2"/>
        </w:numPr>
        <w:tabs>
          <w:tab w:val="clear" w:pos="567"/>
          <w:tab w:val="clear" w:pos="1701"/>
          <w:tab w:val="clear" w:pos="2268"/>
        </w:tabs>
        <w:spacing w:before="120" w:after="0" w:line="280" w:lineRule="atLeast"/>
        <w:ind w:left="1134" w:hanging="567"/>
      </w:pPr>
      <w:r>
        <w:t xml:space="preserve">Define operational procedures to make NOx measurements more reliable (contacting the vessel to get information on type of fuel, specific consumption rate, and power; taking several measurements as for SOx, comparison of measurement results with emission test results). </w:t>
      </w:r>
      <w:r>
        <w:br w:type="page"/>
      </w:r>
    </w:p>
    <w:sectPr w:rsidR="009A52AF" w:rsidSect="00755ED2">
      <w:footerReference w:type="even" r:id="rId12"/>
      <w:footerReference w:type="default" r:id="rId13"/>
      <w:pgSz w:w="11907" w:h="16840" w:code="9"/>
      <w:pgMar w:top="1134" w:right="1134" w:bottom="851" w:left="1134" w:header="567"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7906B" w14:textId="77777777" w:rsidR="00CB5115" w:rsidRDefault="00CB5115">
      <w:r>
        <w:separator/>
      </w:r>
    </w:p>
  </w:endnote>
  <w:endnote w:type="continuationSeparator" w:id="0">
    <w:p w14:paraId="2E129710" w14:textId="77777777" w:rsidR="00CB5115" w:rsidRDefault="00CB5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PhagsPa">
    <w:panose1 w:val="020B0502040204020203"/>
    <w:charset w:val="00"/>
    <w:family w:val="swiss"/>
    <w:pitch w:val="variable"/>
    <w:sig w:usb0="00000003" w:usb1="00000000" w:usb2="08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91458" w14:textId="77777777" w:rsidR="00146812" w:rsidRDefault="00146812" w:rsidP="001D17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AE2DAB" w14:textId="77777777" w:rsidR="00146812" w:rsidRDefault="00146812" w:rsidP="003740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57BA8" w14:textId="77777777" w:rsidR="004914EF" w:rsidRPr="004914EF" w:rsidRDefault="004914EF" w:rsidP="004914EF">
    <w:pPr>
      <w:tabs>
        <w:tab w:val="clear" w:pos="567"/>
        <w:tab w:val="clear" w:pos="1134"/>
        <w:tab w:val="clear" w:pos="1701"/>
        <w:tab w:val="clear" w:pos="2268"/>
        <w:tab w:val="right" w:leader="underscore" w:pos="9639"/>
      </w:tabs>
      <w:spacing w:after="0"/>
      <w:ind w:left="709" w:firstLine="11"/>
      <w:jc w:val="right"/>
      <w:rPr>
        <w:sz w:val="16"/>
        <w:szCs w:val="18"/>
        <w:lang w:eastAsia="en-US"/>
      </w:rPr>
    </w:pPr>
    <w:r w:rsidRPr="004914EF">
      <w:rPr>
        <w:sz w:val="18"/>
        <w:szCs w:val="18"/>
        <w:lang w:eastAsia="en-US"/>
      </w:rPr>
      <w:fldChar w:fldCharType="begin"/>
    </w:r>
    <w:r w:rsidRPr="004914EF">
      <w:rPr>
        <w:sz w:val="18"/>
        <w:szCs w:val="18"/>
        <w:lang w:eastAsia="en-US"/>
      </w:rPr>
      <w:instrText xml:space="preserve"> PAGE </w:instrText>
    </w:r>
    <w:r w:rsidRPr="004914EF">
      <w:rPr>
        <w:sz w:val="18"/>
        <w:szCs w:val="18"/>
        <w:lang w:eastAsia="en-US"/>
      </w:rPr>
      <w:fldChar w:fldCharType="separate"/>
    </w:r>
    <w:r w:rsidRPr="004914EF">
      <w:rPr>
        <w:sz w:val="18"/>
        <w:szCs w:val="18"/>
        <w:lang w:eastAsia="en-US"/>
      </w:rPr>
      <w:t>1</w:t>
    </w:r>
    <w:r w:rsidRPr="004914EF">
      <w:rPr>
        <w:sz w:val="18"/>
        <w:szCs w:val="18"/>
        <w:lang w:eastAsia="en-US"/>
      </w:rPr>
      <w:fldChar w:fldCharType="end"/>
    </w:r>
    <w:r w:rsidRPr="004914EF">
      <w:rPr>
        <w:sz w:val="18"/>
        <w:szCs w:val="18"/>
        <w:lang w:eastAsia="en-US"/>
      </w:rPr>
      <w:t>/</w:t>
    </w:r>
    <w:r w:rsidRPr="004914EF">
      <w:rPr>
        <w:sz w:val="18"/>
        <w:szCs w:val="18"/>
        <w:lang w:eastAsia="en-US"/>
      </w:rPr>
      <w:fldChar w:fldCharType="begin"/>
    </w:r>
    <w:r w:rsidRPr="004914EF">
      <w:rPr>
        <w:sz w:val="18"/>
        <w:szCs w:val="18"/>
        <w:lang w:eastAsia="en-US"/>
      </w:rPr>
      <w:instrText xml:space="preserve"> NUMPAGES </w:instrText>
    </w:r>
    <w:r w:rsidRPr="004914EF">
      <w:rPr>
        <w:sz w:val="18"/>
        <w:szCs w:val="18"/>
        <w:lang w:eastAsia="en-US"/>
      </w:rPr>
      <w:fldChar w:fldCharType="separate"/>
    </w:r>
    <w:r w:rsidRPr="004914EF">
      <w:rPr>
        <w:sz w:val="18"/>
        <w:szCs w:val="18"/>
        <w:lang w:eastAsia="en-US"/>
      </w:rPr>
      <w:t>3</w:t>
    </w:r>
    <w:r w:rsidRPr="004914EF">
      <w:rPr>
        <w:sz w:val="18"/>
        <w:szCs w:val="18"/>
        <w:lang w:eastAsia="en-US"/>
      </w:rPr>
      <w:fldChar w:fldCharType="end"/>
    </w:r>
  </w:p>
  <w:p w14:paraId="52F0A98B" w14:textId="05E27FF9" w:rsidR="00C47D02" w:rsidRDefault="004914EF" w:rsidP="004914EF">
    <w:pPr>
      <w:pBdr>
        <w:top w:val="single" w:sz="4" w:space="1" w:color="auto"/>
      </w:pBdr>
      <w:tabs>
        <w:tab w:val="clear" w:pos="567"/>
        <w:tab w:val="clear" w:pos="1134"/>
        <w:tab w:val="clear" w:pos="1701"/>
        <w:tab w:val="clear" w:pos="2268"/>
        <w:tab w:val="center" w:pos="4820"/>
        <w:tab w:val="right" w:pos="9639"/>
      </w:tabs>
      <w:spacing w:before="60" w:after="0"/>
      <w:ind w:firstLine="11"/>
    </w:pPr>
    <w:r w:rsidRPr="004914EF">
      <w:rPr>
        <w:sz w:val="20"/>
        <w:szCs w:val="18"/>
        <w:lang w:eastAsia="en-US"/>
      </w:rPr>
      <w:t>Bonn Agreement</w:t>
    </w:r>
    <w:r w:rsidRPr="004914EF">
      <w:rPr>
        <w:sz w:val="20"/>
        <w:szCs w:val="18"/>
        <w:lang w:eastAsia="en-US"/>
      </w:rPr>
      <w:tab/>
    </w:r>
    <w:r w:rsidRPr="004914EF">
      <w:rPr>
        <w:sz w:val="20"/>
        <w:szCs w:val="18"/>
        <w:lang w:eastAsia="en-US"/>
      </w:rPr>
      <w:tab/>
    </w:r>
    <w:r w:rsidR="00C56E1D">
      <w:rPr>
        <w:sz w:val="20"/>
        <w:szCs w:val="18"/>
        <w:lang w:eastAsia="en-US"/>
      </w:rPr>
      <w:t>MAVI TWG(1)</w:t>
    </w:r>
    <w:r w:rsidR="00275480">
      <w:rPr>
        <w:sz w:val="20"/>
        <w:szCs w:val="18"/>
        <w:lang w:eastAsia="en-US"/>
      </w:rPr>
      <w:t xml:space="preserve"> 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5BF5E" w14:textId="77777777" w:rsidR="00CB5115" w:rsidRDefault="00CB5115">
      <w:r>
        <w:separator/>
      </w:r>
    </w:p>
  </w:footnote>
  <w:footnote w:type="continuationSeparator" w:id="0">
    <w:p w14:paraId="740E69B4" w14:textId="77777777" w:rsidR="00CB5115" w:rsidRDefault="00CB5115">
      <w:r>
        <w:continuationSeparator/>
      </w:r>
    </w:p>
  </w:footnote>
  <w:footnote w:id="1">
    <w:p w14:paraId="6661B561" w14:textId="77777777" w:rsidR="009A52AF" w:rsidRDefault="009A52AF" w:rsidP="009A52AF">
      <w:pPr>
        <w:pStyle w:val="FootnoteText"/>
      </w:pPr>
      <w:r>
        <w:rPr>
          <w:rStyle w:val="FootnoteReference"/>
        </w:rPr>
        <w:footnoteRef/>
      </w:r>
      <w:r>
        <w:t xml:space="preserve"> </w:t>
      </w:r>
      <w:r>
        <w:rPr>
          <w:rFonts w:asciiTheme="majorHAnsi" w:hAnsiTheme="majorHAnsi" w:cstheme="majorHAnsi"/>
          <w:sz w:val="18"/>
          <w:szCs w:val="18"/>
          <w:shd w:val="clear" w:color="auto" w:fill="FFFFFF"/>
        </w:rPr>
        <w:t>European Committee for Standardization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76E5B"/>
    <w:multiLevelType w:val="hybridMultilevel"/>
    <w:tmpl w:val="BC06B4B6"/>
    <w:lvl w:ilvl="0" w:tplc="2E3872A8">
      <w:start w:val="1"/>
      <w:numFmt w:val="bullet"/>
      <w:lvlText w:val="•"/>
      <w:lvlJc w:val="left"/>
      <w:pPr>
        <w:tabs>
          <w:tab w:val="num" w:pos="720"/>
        </w:tabs>
        <w:ind w:left="720" w:hanging="360"/>
      </w:pPr>
      <w:rPr>
        <w:rFonts w:ascii="Arial" w:hAnsi="Arial" w:hint="default"/>
      </w:rPr>
    </w:lvl>
    <w:lvl w:ilvl="1" w:tplc="23E679F2">
      <w:numFmt w:val="bullet"/>
      <w:lvlText w:val="•"/>
      <w:lvlJc w:val="left"/>
      <w:pPr>
        <w:tabs>
          <w:tab w:val="num" w:pos="1440"/>
        </w:tabs>
        <w:ind w:left="1440" w:hanging="360"/>
      </w:pPr>
      <w:rPr>
        <w:rFonts w:ascii="Arial" w:hAnsi="Arial" w:hint="default"/>
      </w:rPr>
    </w:lvl>
    <w:lvl w:ilvl="2" w:tplc="9D6CA676" w:tentative="1">
      <w:start w:val="1"/>
      <w:numFmt w:val="bullet"/>
      <w:lvlText w:val="•"/>
      <w:lvlJc w:val="left"/>
      <w:pPr>
        <w:tabs>
          <w:tab w:val="num" w:pos="2160"/>
        </w:tabs>
        <w:ind w:left="2160" w:hanging="360"/>
      </w:pPr>
      <w:rPr>
        <w:rFonts w:ascii="Arial" w:hAnsi="Arial" w:hint="default"/>
      </w:rPr>
    </w:lvl>
    <w:lvl w:ilvl="3" w:tplc="84846370" w:tentative="1">
      <w:start w:val="1"/>
      <w:numFmt w:val="bullet"/>
      <w:lvlText w:val="•"/>
      <w:lvlJc w:val="left"/>
      <w:pPr>
        <w:tabs>
          <w:tab w:val="num" w:pos="2880"/>
        </w:tabs>
        <w:ind w:left="2880" w:hanging="360"/>
      </w:pPr>
      <w:rPr>
        <w:rFonts w:ascii="Arial" w:hAnsi="Arial" w:hint="default"/>
      </w:rPr>
    </w:lvl>
    <w:lvl w:ilvl="4" w:tplc="425C2170" w:tentative="1">
      <w:start w:val="1"/>
      <w:numFmt w:val="bullet"/>
      <w:lvlText w:val="•"/>
      <w:lvlJc w:val="left"/>
      <w:pPr>
        <w:tabs>
          <w:tab w:val="num" w:pos="3600"/>
        </w:tabs>
        <w:ind w:left="3600" w:hanging="360"/>
      </w:pPr>
      <w:rPr>
        <w:rFonts w:ascii="Arial" w:hAnsi="Arial" w:hint="default"/>
      </w:rPr>
    </w:lvl>
    <w:lvl w:ilvl="5" w:tplc="3DC05FD6" w:tentative="1">
      <w:start w:val="1"/>
      <w:numFmt w:val="bullet"/>
      <w:lvlText w:val="•"/>
      <w:lvlJc w:val="left"/>
      <w:pPr>
        <w:tabs>
          <w:tab w:val="num" w:pos="4320"/>
        </w:tabs>
        <w:ind w:left="4320" w:hanging="360"/>
      </w:pPr>
      <w:rPr>
        <w:rFonts w:ascii="Arial" w:hAnsi="Arial" w:hint="default"/>
      </w:rPr>
    </w:lvl>
    <w:lvl w:ilvl="6" w:tplc="1DE2E864" w:tentative="1">
      <w:start w:val="1"/>
      <w:numFmt w:val="bullet"/>
      <w:lvlText w:val="•"/>
      <w:lvlJc w:val="left"/>
      <w:pPr>
        <w:tabs>
          <w:tab w:val="num" w:pos="5040"/>
        </w:tabs>
        <w:ind w:left="5040" w:hanging="360"/>
      </w:pPr>
      <w:rPr>
        <w:rFonts w:ascii="Arial" w:hAnsi="Arial" w:hint="default"/>
      </w:rPr>
    </w:lvl>
    <w:lvl w:ilvl="7" w:tplc="E910ABF0" w:tentative="1">
      <w:start w:val="1"/>
      <w:numFmt w:val="bullet"/>
      <w:lvlText w:val="•"/>
      <w:lvlJc w:val="left"/>
      <w:pPr>
        <w:tabs>
          <w:tab w:val="num" w:pos="5760"/>
        </w:tabs>
        <w:ind w:left="5760" w:hanging="360"/>
      </w:pPr>
      <w:rPr>
        <w:rFonts w:ascii="Arial" w:hAnsi="Arial" w:hint="default"/>
      </w:rPr>
    </w:lvl>
    <w:lvl w:ilvl="8" w:tplc="ACFE113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B91C7E"/>
    <w:multiLevelType w:val="hybridMultilevel"/>
    <w:tmpl w:val="214A672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09053E"/>
    <w:multiLevelType w:val="hybridMultilevel"/>
    <w:tmpl w:val="572A7596"/>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 w15:restartNumberingAfterBreak="0">
    <w:nsid w:val="19BE5239"/>
    <w:multiLevelType w:val="hybridMultilevel"/>
    <w:tmpl w:val="AEA47240"/>
    <w:lvl w:ilvl="0" w:tplc="25FECA90">
      <w:start w:val="1"/>
      <w:numFmt w:val="bullet"/>
      <w:lvlText w:val="-"/>
      <w:lvlJc w:val="left"/>
      <w:pPr>
        <w:ind w:left="720" w:hanging="360"/>
      </w:pPr>
      <w:rPr>
        <w:rFonts w:ascii="Calibri" w:eastAsia="Times New Roman" w:hAnsi="Calibri" w:cs="Calibri" w:hint="default"/>
      </w:rPr>
    </w:lvl>
    <w:lvl w:ilvl="1" w:tplc="08090005">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C8138EC"/>
    <w:multiLevelType w:val="hybridMultilevel"/>
    <w:tmpl w:val="79CE7466"/>
    <w:lvl w:ilvl="0" w:tplc="22F225F4">
      <w:numFmt w:val="bullet"/>
      <w:lvlText w:val="-"/>
      <w:lvlJc w:val="left"/>
      <w:pPr>
        <w:ind w:left="720" w:hanging="360"/>
      </w:pPr>
      <w:rPr>
        <w:rFonts w:ascii="Calibri" w:eastAsia="Calibr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D557033"/>
    <w:multiLevelType w:val="hybridMultilevel"/>
    <w:tmpl w:val="7780D43A"/>
    <w:lvl w:ilvl="0" w:tplc="4FD05530">
      <w:start w:val="16"/>
      <w:numFmt w:val="bullet"/>
      <w:lvlText w:val="-"/>
      <w:lvlJc w:val="left"/>
      <w:pPr>
        <w:ind w:left="927" w:hanging="360"/>
      </w:pPr>
      <w:rPr>
        <w:rFonts w:ascii="Calibri" w:eastAsia="Times New Roman" w:hAnsi="Calibri" w:cs="Calibri" w:hint="default"/>
        <w:b w:val="0"/>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 w15:restartNumberingAfterBreak="0">
    <w:nsid w:val="306020DE"/>
    <w:multiLevelType w:val="hybridMultilevel"/>
    <w:tmpl w:val="467674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17F0A0A"/>
    <w:multiLevelType w:val="multilevel"/>
    <w:tmpl w:val="C72EEA2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731CE"/>
    <w:multiLevelType w:val="hybridMultilevel"/>
    <w:tmpl w:val="F68E39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3961891"/>
    <w:multiLevelType w:val="hybridMultilevel"/>
    <w:tmpl w:val="58460D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570617"/>
    <w:multiLevelType w:val="hybridMultilevel"/>
    <w:tmpl w:val="7C264F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4650FE"/>
    <w:multiLevelType w:val="hybridMultilevel"/>
    <w:tmpl w:val="EC50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ED2C1F"/>
    <w:multiLevelType w:val="multilevel"/>
    <w:tmpl w:val="B896D5DA"/>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1D08DB"/>
    <w:multiLevelType w:val="hybridMultilevel"/>
    <w:tmpl w:val="1730CDD6"/>
    <w:lvl w:ilvl="0" w:tplc="9B84A756">
      <w:numFmt w:val="bullet"/>
      <w:lvlText w:val="-"/>
      <w:lvlJc w:val="left"/>
      <w:pPr>
        <w:ind w:left="720" w:hanging="360"/>
      </w:pPr>
      <w:rPr>
        <w:rFonts w:ascii="Verdana" w:eastAsiaTheme="minorHAnsi" w:hAnsi="Verdana"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A364E0F"/>
    <w:multiLevelType w:val="multilevel"/>
    <w:tmpl w:val="7D6CF6D8"/>
    <w:lvl w:ilvl="0">
      <w:start w:val="1"/>
      <w:numFmt w:val="decimal"/>
      <w:pStyle w:val="BodyText"/>
      <w:lvlText w:val="%1."/>
      <w:lvlJc w:val="left"/>
      <w:pPr>
        <w:tabs>
          <w:tab w:val="num" w:pos="1418"/>
        </w:tabs>
        <w:ind w:left="1418" w:hanging="1134"/>
      </w:pPr>
      <w:rPr>
        <w:rFonts w:hint="default"/>
      </w:rPr>
    </w:lvl>
    <w:lvl w:ilvl="1">
      <w:start w:val="1"/>
      <w:numFmt w:val="lowerLetter"/>
      <w:lvlText w:val="%2."/>
      <w:lvlJc w:val="left"/>
      <w:pPr>
        <w:tabs>
          <w:tab w:val="num" w:pos="1494"/>
        </w:tabs>
        <w:ind w:left="1418" w:hanging="284"/>
      </w:pPr>
      <w:rPr>
        <w:rFonts w:hint="default"/>
      </w:rPr>
    </w:lvl>
    <w:lvl w:ilvl="2">
      <w:start w:val="1"/>
      <w:numFmt w:val="lowerRoman"/>
      <w:lvlText w:val="%3."/>
      <w:lvlJc w:val="left"/>
      <w:pPr>
        <w:tabs>
          <w:tab w:val="num" w:pos="2138"/>
        </w:tabs>
        <w:ind w:left="1701" w:hanging="283"/>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15" w15:restartNumberingAfterBreak="0">
    <w:nsid w:val="4EB828F3"/>
    <w:multiLevelType w:val="hybridMultilevel"/>
    <w:tmpl w:val="51CC88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937307"/>
    <w:multiLevelType w:val="hybridMultilevel"/>
    <w:tmpl w:val="4C3E7928"/>
    <w:lvl w:ilvl="0" w:tplc="76F89910">
      <w:start w:val="1"/>
      <w:numFmt w:val="bullet"/>
      <w:lvlText w:val="•"/>
      <w:lvlJc w:val="left"/>
      <w:pPr>
        <w:tabs>
          <w:tab w:val="num" w:pos="720"/>
        </w:tabs>
        <w:ind w:left="720" w:hanging="360"/>
      </w:pPr>
      <w:rPr>
        <w:rFonts w:ascii="Arial" w:hAnsi="Arial" w:hint="default"/>
      </w:rPr>
    </w:lvl>
    <w:lvl w:ilvl="1" w:tplc="A90CE2E0" w:tentative="1">
      <w:start w:val="1"/>
      <w:numFmt w:val="bullet"/>
      <w:lvlText w:val="•"/>
      <w:lvlJc w:val="left"/>
      <w:pPr>
        <w:tabs>
          <w:tab w:val="num" w:pos="1440"/>
        </w:tabs>
        <w:ind w:left="1440" w:hanging="360"/>
      </w:pPr>
      <w:rPr>
        <w:rFonts w:ascii="Arial" w:hAnsi="Arial" w:hint="default"/>
      </w:rPr>
    </w:lvl>
    <w:lvl w:ilvl="2" w:tplc="5ACE0708" w:tentative="1">
      <w:start w:val="1"/>
      <w:numFmt w:val="bullet"/>
      <w:lvlText w:val="•"/>
      <w:lvlJc w:val="left"/>
      <w:pPr>
        <w:tabs>
          <w:tab w:val="num" w:pos="2160"/>
        </w:tabs>
        <w:ind w:left="2160" w:hanging="360"/>
      </w:pPr>
      <w:rPr>
        <w:rFonts w:ascii="Arial" w:hAnsi="Arial" w:hint="default"/>
      </w:rPr>
    </w:lvl>
    <w:lvl w:ilvl="3" w:tplc="2138C01E" w:tentative="1">
      <w:start w:val="1"/>
      <w:numFmt w:val="bullet"/>
      <w:lvlText w:val="•"/>
      <w:lvlJc w:val="left"/>
      <w:pPr>
        <w:tabs>
          <w:tab w:val="num" w:pos="2880"/>
        </w:tabs>
        <w:ind w:left="2880" w:hanging="360"/>
      </w:pPr>
      <w:rPr>
        <w:rFonts w:ascii="Arial" w:hAnsi="Arial" w:hint="default"/>
      </w:rPr>
    </w:lvl>
    <w:lvl w:ilvl="4" w:tplc="C0CA91E2" w:tentative="1">
      <w:start w:val="1"/>
      <w:numFmt w:val="bullet"/>
      <w:lvlText w:val="•"/>
      <w:lvlJc w:val="left"/>
      <w:pPr>
        <w:tabs>
          <w:tab w:val="num" w:pos="3600"/>
        </w:tabs>
        <w:ind w:left="3600" w:hanging="360"/>
      </w:pPr>
      <w:rPr>
        <w:rFonts w:ascii="Arial" w:hAnsi="Arial" w:hint="default"/>
      </w:rPr>
    </w:lvl>
    <w:lvl w:ilvl="5" w:tplc="1A7A0928" w:tentative="1">
      <w:start w:val="1"/>
      <w:numFmt w:val="bullet"/>
      <w:lvlText w:val="•"/>
      <w:lvlJc w:val="left"/>
      <w:pPr>
        <w:tabs>
          <w:tab w:val="num" w:pos="4320"/>
        </w:tabs>
        <w:ind w:left="4320" w:hanging="360"/>
      </w:pPr>
      <w:rPr>
        <w:rFonts w:ascii="Arial" w:hAnsi="Arial" w:hint="default"/>
      </w:rPr>
    </w:lvl>
    <w:lvl w:ilvl="6" w:tplc="8B802D3A" w:tentative="1">
      <w:start w:val="1"/>
      <w:numFmt w:val="bullet"/>
      <w:lvlText w:val="•"/>
      <w:lvlJc w:val="left"/>
      <w:pPr>
        <w:tabs>
          <w:tab w:val="num" w:pos="5040"/>
        </w:tabs>
        <w:ind w:left="5040" w:hanging="360"/>
      </w:pPr>
      <w:rPr>
        <w:rFonts w:ascii="Arial" w:hAnsi="Arial" w:hint="default"/>
      </w:rPr>
    </w:lvl>
    <w:lvl w:ilvl="7" w:tplc="6504CD94" w:tentative="1">
      <w:start w:val="1"/>
      <w:numFmt w:val="bullet"/>
      <w:lvlText w:val="•"/>
      <w:lvlJc w:val="left"/>
      <w:pPr>
        <w:tabs>
          <w:tab w:val="num" w:pos="5760"/>
        </w:tabs>
        <w:ind w:left="5760" w:hanging="360"/>
      </w:pPr>
      <w:rPr>
        <w:rFonts w:ascii="Arial" w:hAnsi="Arial" w:hint="default"/>
      </w:rPr>
    </w:lvl>
    <w:lvl w:ilvl="8" w:tplc="6024BA3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4027E79"/>
    <w:multiLevelType w:val="hybridMultilevel"/>
    <w:tmpl w:val="790A0186"/>
    <w:lvl w:ilvl="0" w:tplc="25FECA90">
      <w:start w:val="1"/>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644A3AB3"/>
    <w:multiLevelType w:val="hybridMultilevel"/>
    <w:tmpl w:val="81921E2C"/>
    <w:lvl w:ilvl="0" w:tplc="376EEF3C">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9" w15:restartNumberingAfterBreak="0">
    <w:nsid w:val="6C595BA4"/>
    <w:multiLevelType w:val="multilevel"/>
    <w:tmpl w:val="20AA7BF0"/>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E644EFB"/>
    <w:multiLevelType w:val="hybridMultilevel"/>
    <w:tmpl w:val="6262A9E0"/>
    <w:lvl w:ilvl="0" w:tplc="08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1" w15:restartNumberingAfterBreak="0">
    <w:nsid w:val="7E972EA0"/>
    <w:multiLevelType w:val="hybridMultilevel"/>
    <w:tmpl w:val="9B0CBA10"/>
    <w:lvl w:ilvl="0" w:tplc="340E7C4A">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6268187">
    <w:abstractNumId w:val="14"/>
  </w:num>
  <w:num w:numId="2" w16cid:durableId="976452078">
    <w:abstractNumId w:val="19"/>
  </w:num>
  <w:num w:numId="3" w16cid:durableId="1140807853">
    <w:abstractNumId w:val="7"/>
  </w:num>
  <w:num w:numId="4" w16cid:durableId="602882468">
    <w:abstractNumId w:val="16"/>
  </w:num>
  <w:num w:numId="5" w16cid:durableId="1239904238">
    <w:abstractNumId w:val="0"/>
  </w:num>
  <w:num w:numId="6" w16cid:durableId="278488291">
    <w:abstractNumId w:val="9"/>
  </w:num>
  <w:num w:numId="7" w16cid:durableId="915480231">
    <w:abstractNumId w:val="15"/>
  </w:num>
  <w:num w:numId="8" w16cid:durableId="911230607">
    <w:abstractNumId w:val="11"/>
  </w:num>
  <w:num w:numId="9" w16cid:durableId="1820347241">
    <w:abstractNumId w:val="6"/>
  </w:num>
  <w:num w:numId="10" w16cid:durableId="139660070">
    <w:abstractNumId w:val="10"/>
  </w:num>
  <w:num w:numId="11" w16cid:durableId="659307620">
    <w:abstractNumId w:val="5"/>
  </w:num>
  <w:num w:numId="12" w16cid:durableId="905342956">
    <w:abstractNumId w:val="17"/>
  </w:num>
  <w:num w:numId="13" w16cid:durableId="613950254">
    <w:abstractNumId w:val="3"/>
  </w:num>
  <w:num w:numId="14" w16cid:durableId="6641616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0706526">
    <w:abstractNumId w:val="21"/>
  </w:num>
  <w:num w:numId="16" w16cid:durableId="1307971357">
    <w:abstractNumId w:val="1"/>
  </w:num>
  <w:num w:numId="17" w16cid:durableId="1917087677">
    <w:abstractNumId w:val="8"/>
  </w:num>
  <w:num w:numId="18" w16cid:durableId="1624532655">
    <w:abstractNumId w:val="20"/>
  </w:num>
  <w:num w:numId="19" w16cid:durableId="1088499880">
    <w:abstractNumId w:val="12"/>
  </w:num>
  <w:num w:numId="20" w16cid:durableId="1052340746">
    <w:abstractNumId w:val="13"/>
  </w:num>
  <w:num w:numId="21" w16cid:durableId="164442642">
    <w:abstractNumId w:val="18"/>
  </w:num>
  <w:num w:numId="22" w16cid:durableId="29406437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fillcolor="white" strokecolor="none [671]">
      <v:fill color="white"/>
      <v:stroke color="none [671]"/>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A08"/>
    <w:rsid w:val="00001754"/>
    <w:rsid w:val="00002875"/>
    <w:rsid w:val="00004C2B"/>
    <w:rsid w:val="00006101"/>
    <w:rsid w:val="000121B1"/>
    <w:rsid w:val="00012957"/>
    <w:rsid w:val="00013994"/>
    <w:rsid w:val="00014674"/>
    <w:rsid w:val="000149FE"/>
    <w:rsid w:val="00016339"/>
    <w:rsid w:val="0001648D"/>
    <w:rsid w:val="000176BC"/>
    <w:rsid w:val="00021394"/>
    <w:rsid w:val="000214D1"/>
    <w:rsid w:val="00022A06"/>
    <w:rsid w:val="00022E21"/>
    <w:rsid w:val="0002380F"/>
    <w:rsid w:val="00023D36"/>
    <w:rsid w:val="00024AD9"/>
    <w:rsid w:val="00026896"/>
    <w:rsid w:val="00027AAE"/>
    <w:rsid w:val="000315EE"/>
    <w:rsid w:val="000323C2"/>
    <w:rsid w:val="0003279C"/>
    <w:rsid w:val="000345FF"/>
    <w:rsid w:val="00035296"/>
    <w:rsid w:val="00035401"/>
    <w:rsid w:val="00037E9F"/>
    <w:rsid w:val="000402D9"/>
    <w:rsid w:val="00040591"/>
    <w:rsid w:val="00040BC5"/>
    <w:rsid w:val="0004153B"/>
    <w:rsid w:val="00042062"/>
    <w:rsid w:val="00051A20"/>
    <w:rsid w:val="0005298C"/>
    <w:rsid w:val="00053156"/>
    <w:rsid w:val="00053DD1"/>
    <w:rsid w:val="000542FD"/>
    <w:rsid w:val="00056481"/>
    <w:rsid w:val="00060C32"/>
    <w:rsid w:val="00061754"/>
    <w:rsid w:val="00062203"/>
    <w:rsid w:val="0006270C"/>
    <w:rsid w:val="0006525C"/>
    <w:rsid w:val="00065DA8"/>
    <w:rsid w:val="00066145"/>
    <w:rsid w:val="00067105"/>
    <w:rsid w:val="00067164"/>
    <w:rsid w:val="00070F9E"/>
    <w:rsid w:val="00071F23"/>
    <w:rsid w:val="00072010"/>
    <w:rsid w:val="000728EE"/>
    <w:rsid w:val="0007509B"/>
    <w:rsid w:val="00075228"/>
    <w:rsid w:val="00080AB9"/>
    <w:rsid w:val="0008533F"/>
    <w:rsid w:val="00085781"/>
    <w:rsid w:val="000860DB"/>
    <w:rsid w:val="000877BC"/>
    <w:rsid w:val="00087DC4"/>
    <w:rsid w:val="000926F5"/>
    <w:rsid w:val="000933D3"/>
    <w:rsid w:val="00093526"/>
    <w:rsid w:val="00093B76"/>
    <w:rsid w:val="00096CC1"/>
    <w:rsid w:val="000A15F9"/>
    <w:rsid w:val="000A4421"/>
    <w:rsid w:val="000A4F2A"/>
    <w:rsid w:val="000A57C3"/>
    <w:rsid w:val="000A7955"/>
    <w:rsid w:val="000B2532"/>
    <w:rsid w:val="000B30B1"/>
    <w:rsid w:val="000B39B8"/>
    <w:rsid w:val="000B6733"/>
    <w:rsid w:val="000B6C3C"/>
    <w:rsid w:val="000B6EA4"/>
    <w:rsid w:val="000B793D"/>
    <w:rsid w:val="000C5518"/>
    <w:rsid w:val="000C5A08"/>
    <w:rsid w:val="000C622D"/>
    <w:rsid w:val="000D067D"/>
    <w:rsid w:val="000D0A9A"/>
    <w:rsid w:val="000D1536"/>
    <w:rsid w:val="000D1EE5"/>
    <w:rsid w:val="000D2DFF"/>
    <w:rsid w:val="000D3DAB"/>
    <w:rsid w:val="000D4E33"/>
    <w:rsid w:val="000D4EE4"/>
    <w:rsid w:val="000D590B"/>
    <w:rsid w:val="000D67B8"/>
    <w:rsid w:val="000D6A4B"/>
    <w:rsid w:val="000D6D67"/>
    <w:rsid w:val="000D7CD3"/>
    <w:rsid w:val="000E0686"/>
    <w:rsid w:val="000E06B4"/>
    <w:rsid w:val="000E0E27"/>
    <w:rsid w:val="000E29E1"/>
    <w:rsid w:val="000E33AE"/>
    <w:rsid w:val="000E4F92"/>
    <w:rsid w:val="000E6AAD"/>
    <w:rsid w:val="000F0154"/>
    <w:rsid w:val="000F018D"/>
    <w:rsid w:val="000F185B"/>
    <w:rsid w:val="000F21B6"/>
    <w:rsid w:val="000F3865"/>
    <w:rsid w:val="000F478B"/>
    <w:rsid w:val="000F4870"/>
    <w:rsid w:val="000F4EB2"/>
    <w:rsid w:val="000F618F"/>
    <w:rsid w:val="000F6393"/>
    <w:rsid w:val="000F689B"/>
    <w:rsid w:val="000F6D4B"/>
    <w:rsid w:val="000F6D80"/>
    <w:rsid w:val="000F6E91"/>
    <w:rsid w:val="0010332D"/>
    <w:rsid w:val="00104363"/>
    <w:rsid w:val="00105BE6"/>
    <w:rsid w:val="00110EB2"/>
    <w:rsid w:val="00111D7D"/>
    <w:rsid w:val="00111E4A"/>
    <w:rsid w:val="00112585"/>
    <w:rsid w:val="001172BF"/>
    <w:rsid w:val="001173CB"/>
    <w:rsid w:val="001207B5"/>
    <w:rsid w:val="001211F1"/>
    <w:rsid w:val="00125064"/>
    <w:rsid w:val="001269A0"/>
    <w:rsid w:val="001313D8"/>
    <w:rsid w:val="0013318F"/>
    <w:rsid w:val="00133F8D"/>
    <w:rsid w:val="001342EE"/>
    <w:rsid w:val="00134926"/>
    <w:rsid w:val="001354FE"/>
    <w:rsid w:val="0013664B"/>
    <w:rsid w:val="00137313"/>
    <w:rsid w:val="00137F54"/>
    <w:rsid w:val="00144D76"/>
    <w:rsid w:val="00146372"/>
    <w:rsid w:val="0014679A"/>
    <w:rsid w:val="00146812"/>
    <w:rsid w:val="00147113"/>
    <w:rsid w:val="00147CE1"/>
    <w:rsid w:val="001521AB"/>
    <w:rsid w:val="00153D58"/>
    <w:rsid w:val="00153EF8"/>
    <w:rsid w:val="00154BB8"/>
    <w:rsid w:val="00154D98"/>
    <w:rsid w:val="00156786"/>
    <w:rsid w:val="00156812"/>
    <w:rsid w:val="00163ED8"/>
    <w:rsid w:val="0016532C"/>
    <w:rsid w:val="00167732"/>
    <w:rsid w:val="00167AF0"/>
    <w:rsid w:val="0017119B"/>
    <w:rsid w:val="00171651"/>
    <w:rsid w:val="00172753"/>
    <w:rsid w:val="0017437E"/>
    <w:rsid w:val="001743F9"/>
    <w:rsid w:val="00176324"/>
    <w:rsid w:val="0018090F"/>
    <w:rsid w:val="001824BF"/>
    <w:rsid w:val="001840BE"/>
    <w:rsid w:val="00184B13"/>
    <w:rsid w:val="0018531B"/>
    <w:rsid w:val="001863B7"/>
    <w:rsid w:val="00186471"/>
    <w:rsid w:val="00186B91"/>
    <w:rsid w:val="00194007"/>
    <w:rsid w:val="00194AAD"/>
    <w:rsid w:val="00194ABC"/>
    <w:rsid w:val="00195028"/>
    <w:rsid w:val="00195132"/>
    <w:rsid w:val="00195371"/>
    <w:rsid w:val="00196307"/>
    <w:rsid w:val="001A0D43"/>
    <w:rsid w:val="001A3CAD"/>
    <w:rsid w:val="001B0257"/>
    <w:rsid w:val="001B0767"/>
    <w:rsid w:val="001B28B6"/>
    <w:rsid w:val="001B2C00"/>
    <w:rsid w:val="001B3BC6"/>
    <w:rsid w:val="001B4C27"/>
    <w:rsid w:val="001B7F11"/>
    <w:rsid w:val="001C085A"/>
    <w:rsid w:val="001C0E35"/>
    <w:rsid w:val="001C1BAD"/>
    <w:rsid w:val="001C409F"/>
    <w:rsid w:val="001C418A"/>
    <w:rsid w:val="001C5387"/>
    <w:rsid w:val="001C5814"/>
    <w:rsid w:val="001C63FE"/>
    <w:rsid w:val="001C70F1"/>
    <w:rsid w:val="001C7C37"/>
    <w:rsid w:val="001D0BE0"/>
    <w:rsid w:val="001D17BA"/>
    <w:rsid w:val="001D5486"/>
    <w:rsid w:val="001D570E"/>
    <w:rsid w:val="001D61D4"/>
    <w:rsid w:val="001D61E4"/>
    <w:rsid w:val="001D6D30"/>
    <w:rsid w:val="001E0A8B"/>
    <w:rsid w:val="001E105F"/>
    <w:rsid w:val="001E2F28"/>
    <w:rsid w:val="001E30C0"/>
    <w:rsid w:val="001E33DA"/>
    <w:rsid w:val="001E4518"/>
    <w:rsid w:val="001E485C"/>
    <w:rsid w:val="001E50BD"/>
    <w:rsid w:val="001E5F32"/>
    <w:rsid w:val="001E6853"/>
    <w:rsid w:val="001F0F7E"/>
    <w:rsid w:val="001F2429"/>
    <w:rsid w:val="001F2D61"/>
    <w:rsid w:val="001F2E85"/>
    <w:rsid w:val="001F2F89"/>
    <w:rsid w:val="001F30EE"/>
    <w:rsid w:val="001F34FB"/>
    <w:rsid w:val="001F3A80"/>
    <w:rsid w:val="001F450B"/>
    <w:rsid w:val="001F61EE"/>
    <w:rsid w:val="001F7ABB"/>
    <w:rsid w:val="0020312E"/>
    <w:rsid w:val="00203714"/>
    <w:rsid w:val="00207E6B"/>
    <w:rsid w:val="00210CA0"/>
    <w:rsid w:val="00211E46"/>
    <w:rsid w:val="0021280C"/>
    <w:rsid w:val="0021435D"/>
    <w:rsid w:val="00214D70"/>
    <w:rsid w:val="002161A7"/>
    <w:rsid w:val="00216EF9"/>
    <w:rsid w:val="00217183"/>
    <w:rsid w:val="0022184A"/>
    <w:rsid w:val="0022389B"/>
    <w:rsid w:val="002256AD"/>
    <w:rsid w:val="00232E84"/>
    <w:rsid w:val="00233126"/>
    <w:rsid w:val="00234587"/>
    <w:rsid w:val="00236966"/>
    <w:rsid w:val="00241F08"/>
    <w:rsid w:val="00242AAF"/>
    <w:rsid w:val="002430D6"/>
    <w:rsid w:val="002430E4"/>
    <w:rsid w:val="002435D1"/>
    <w:rsid w:val="00244637"/>
    <w:rsid w:val="00245A4F"/>
    <w:rsid w:val="00245C3A"/>
    <w:rsid w:val="002462F0"/>
    <w:rsid w:val="002472F6"/>
    <w:rsid w:val="00250DB6"/>
    <w:rsid w:val="00251D1D"/>
    <w:rsid w:val="00251E40"/>
    <w:rsid w:val="00252494"/>
    <w:rsid w:val="00252D46"/>
    <w:rsid w:val="00253D9A"/>
    <w:rsid w:val="00254F72"/>
    <w:rsid w:val="00261B25"/>
    <w:rsid w:val="00261E92"/>
    <w:rsid w:val="00262982"/>
    <w:rsid w:val="00262D52"/>
    <w:rsid w:val="00264907"/>
    <w:rsid w:val="00265F6C"/>
    <w:rsid w:val="00266660"/>
    <w:rsid w:val="002666A2"/>
    <w:rsid w:val="00266A0D"/>
    <w:rsid w:val="00266F2C"/>
    <w:rsid w:val="00271BE8"/>
    <w:rsid w:val="00272224"/>
    <w:rsid w:val="00272B8B"/>
    <w:rsid w:val="002732F2"/>
    <w:rsid w:val="00273D50"/>
    <w:rsid w:val="00274CF3"/>
    <w:rsid w:val="00275480"/>
    <w:rsid w:val="00275659"/>
    <w:rsid w:val="00276381"/>
    <w:rsid w:val="00282F0D"/>
    <w:rsid w:val="00286266"/>
    <w:rsid w:val="00287457"/>
    <w:rsid w:val="002878F6"/>
    <w:rsid w:val="00290442"/>
    <w:rsid w:val="0029262A"/>
    <w:rsid w:val="00295223"/>
    <w:rsid w:val="00295DA8"/>
    <w:rsid w:val="00297A69"/>
    <w:rsid w:val="00297CE4"/>
    <w:rsid w:val="002A0E52"/>
    <w:rsid w:val="002A1E61"/>
    <w:rsid w:val="002A1FC6"/>
    <w:rsid w:val="002A25A4"/>
    <w:rsid w:val="002A26A1"/>
    <w:rsid w:val="002A2954"/>
    <w:rsid w:val="002A39F1"/>
    <w:rsid w:val="002A5A7F"/>
    <w:rsid w:val="002A6C99"/>
    <w:rsid w:val="002A75AC"/>
    <w:rsid w:val="002A7C45"/>
    <w:rsid w:val="002B03F3"/>
    <w:rsid w:val="002B0CFB"/>
    <w:rsid w:val="002B0F84"/>
    <w:rsid w:val="002B4394"/>
    <w:rsid w:val="002B60FA"/>
    <w:rsid w:val="002B678D"/>
    <w:rsid w:val="002B689C"/>
    <w:rsid w:val="002B74AC"/>
    <w:rsid w:val="002B77AB"/>
    <w:rsid w:val="002B7AA8"/>
    <w:rsid w:val="002C0F3C"/>
    <w:rsid w:val="002C3759"/>
    <w:rsid w:val="002C433C"/>
    <w:rsid w:val="002C54D1"/>
    <w:rsid w:val="002D1F31"/>
    <w:rsid w:val="002D2C71"/>
    <w:rsid w:val="002D322C"/>
    <w:rsid w:val="002D4047"/>
    <w:rsid w:val="002D446C"/>
    <w:rsid w:val="002D6F01"/>
    <w:rsid w:val="002E113E"/>
    <w:rsid w:val="002E1D39"/>
    <w:rsid w:val="002E4C7C"/>
    <w:rsid w:val="002E5DB1"/>
    <w:rsid w:val="002E6A84"/>
    <w:rsid w:val="002E787C"/>
    <w:rsid w:val="002F05A6"/>
    <w:rsid w:val="002F0703"/>
    <w:rsid w:val="002F1BFC"/>
    <w:rsid w:val="002F2A00"/>
    <w:rsid w:val="002F2BDF"/>
    <w:rsid w:val="002F50F1"/>
    <w:rsid w:val="002F53AB"/>
    <w:rsid w:val="002F6758"/>
    <w:rsid w:val="002F6A39"/>
    <w:rsid w:val="002F7EFA"/>
    <w:rsid w:val="0030104A"/>
    <w:rsid w:val="00301C00"/>
    <w:rsid w:val="00301C7E"/>
    <w:rsid w:val="003026FE"/>
    <w:rsid w:val="00304930"/>
    <w:rsid w:val="00312691"/>
    <w:rsid w:val="00312B64"/>
    <w:rsid w:val="0031307C"/>
    <w:rsid w:val="003171E9"/>
    <w:rsid w:val="003200FB"/>
    <w:rsid w:val="00320A55"/>
    <w:rsid w:val="00321130"/>
    <w:rsid w:val="003211AF"/>
    <w:rsid w:val="00322B77"/>
    <w:rsid w:val="0032396C"/>
    <w:rsid w:val="0032655F"/>
    <w:rsid w:val="00327013"/>
    <w:rsid w:val="003276E0"/>
    <w:rsid w:val="00327DBD"/>
    <w:rsid w:val="00331664"/>
    <w:rsid w:val="003338DA"/>
    <w:rsid w:val="00333ED6"/>
    <w:rsid w:val="00334D01"/>
    <w:rsid w:val="00334D50"/>
    <w:rsid w:val="00335EED"/>
    <w:rsid w:val="003362D6"/>
    <w:rsid w:val="003366F6"/>
    <w:rsid w:val="00337F46"/>
    <w:rsid w:val="00342B7C"/>
    <w:rsid w:val="00342E58"/>
    <w:rsid w:val="00342F74"/>
    <w:rsid w:val="00343034"/>
    <w:rsid w:val="003464E6"/>
    <w:rsid w:val="00350AB0"/>
    <w:rsid w:val="003515F9"/>
    <w:rsid w:val="00351A1B"/>
    <w:rsid w:val="00354A31"/>
    <w:rsid w:val="003568C1"/>
    <w:rsid w:val="00361847"/>
    <w:rsid w:val="00362051"/>
    <w:rsid w:val="0036299D"/>
    <w:rsid w:val="00365BD6"/>
    <w:rsid w:val="0037051D"/>
    <w:rsid w:val="00370979"/>
    <w:rsid w:val="003718BF"/>
    <w:rsid w:val="00371C7C"/>
    <w:rsid w:val="003728F1"/>
    <w:rsid w:val="00373E51"/>
    <w:rsid w:val="003740C7"/>
    <w:rsid w:val="00375A4D"/>
    <w:rsid w:val="003838DF"/>
    <w:rsid w:val="0038574B"/>
    <w:rsid w:val="00385CD7"/>
    <w:rsid w:val="00387F88"/>
    <w:rsid w:val="003909CA"/>
    <w:rsid w:val="00390AF9"/>
    <w:rsid w:val="003927ED"/>
    <w:rsid w:val="00392FE9"/>
    <w:rsid w:val="00393936"/>
    <w:rsid w:val="00395DEB"/>
    <w:rsid w:val="00395FEF"/>
    <w:rsid w:val="0039708A"/>
    <w:rsid w:val="003978FF"/>
    <w:rsid w:val="003A0CAA"/>
    <w:rsid w:val="003A1B64"/>
    <w:rsid w:val="003A2571"/>
    <w:rsid w:val="003A3BC0"/>
    <w:rsid w:val="003A4AB3"/>
    <w:rsid w:val="003A56F8"/>
    <w:rsid w:val="003A6AC0"/>
    <w:rsid w:val="003B0EF7"/>
    <w:rsid w:val="003B3284"/>
    <w:rsid w:val="003B65A8"/>
    <w:rsid w:val="003B66F6"/>
    <w:rsid w:val="003B7762"/>
    <w:rsid w:val="003C25AC"/>
    <w:rsid w:val="003C50D1"/>
    <w:rsid w:val="003C5A9C"/>
    <w:rsid w:val="003C6B6C"/>
    <w:rsid w:val="003D02A0"/>
    <w:rsid w:val="003D0324"/>
    <w:rsid w:val="003D130A"/>
    <w:rsid w:val="003D3DE9"/>
    <w:rsid w:val="003D3E0A"/>
    <w:rsid w:val="003D6510"/>
    <w:rsid w:val="003D6D5C"/>
    <w:rsid w:val="003E026C"/>
    <w:rsid w:val="003E05B0"/>
    <w:rsid w:val="003E1EBD"/>
    <w:rsid w:val="003E2E98"/>
    <w:rsid w:val="003E37C1"/>
    <w:rsid w:val="003E46D6"/>
    <w:rsid w:val="003E5A06"/>
    <w:rsid w:val="003E5AAD"/>
    <w:rsid w:val="003F5CDC"/>
    <w:rsid w:val="003F6EA7"/>
    <w:rsid w:val="004006B2"/>
    <w:rsid w:val="00402D0B"/>
    <w:rsid w:val="00404D65"/>
    <w:rsid w:val="00405025"/>
    <w:rsid w:val="0040616B"/>
    <w:rsid w:val="0040638D"/>
    <w:rsid w:val="0040789B"/>
    <w:rsid w:val="00407E28"/>
    <w:rsid w:val="00410609"/>
    <w:rsid w:val="0041113B"/>
    <w:rsid w:val="00411366"/>
    <w:rsid w:val="004122F1"/>
    <w:rsid w:val="004136A5"/>
    <w:rsid w:val="0041433F"/>
    <w:rsid w:val="00415C30"/>
    <w:rsid w:val="004208BE"/>
    <w:rsid w:val="004239E0"/>
    <w:rsid w:val="00425A29"/>
    <w:rsid w:val="00426181"/>
    <w:rsid w:val="004261C8"/>
    <w:rsid w:val="00427515"/>
    <w:rsid w:val="004276D5"/>
    <w:rsid w:val="0043083B"/>
    <w:rsid w:val="004316B5"/>
    <w:rsid w:val="0043214B"/>
    <w:rsid w:val="00432305"/>
    <w:rsid w:val="004334DE"/>
    <w:rsid w:val="00433E96"/>
    <w:rsid w:val="00434FCF"/>
    <w:rsid w:val="00435E0E"/>
    <w:rsid w:val="0043670A"/>
    <w:rsid w:val="00437881"/>
    <w:rsid w:val="00442828"/>
    <w:rsid w:val="00443222"/>
    <w:rsid w:val="004438E7"/>
    <w:rsid w:val="00446401"/>
    <w:rsid w:val="00446E4C"/>
    <w:rsid w:val="00451858"/>
    <w:rsid w:val="00452BA2"/>
    <w:rsid w:val="00454678"/>
    <w:rsid w:val="00454A44"/>
    <w:rsid w:val="00455130"/>
    <w:rsid w:val="00460882"/>
    <w:rsid w:val="0046096C"/>
    <w:rsid w:val="00461244"/>
    <w:rsid w:val="00461D78"/>
    <w:rsid w:val="004632FF"/>
    <w:rsid w:val="004669CC"/>
    <w:rsid w:val="00467518"/>
    <w:rsid w:val="004707EE"/>
    <w:rsid w:val="004719C0"/>
    <w:rsid w:val="00471BF4"/>
    <w:rsid w:val="00471CCF"/>
    <w:rsid w:val="00473F36"/>
    <w:rsid w:val="00476FB0"/>
    <w:rsid w:val="00477164"/>
    <w:rsid w:val="00477C24"/>
    <w:rsid w:val="00480BC5"/>
    <w:rsid w:val="004844E5"/>
    <w:rsid w:val="00485DDC"/>
    <w:rsid w:val="004864A7"/>
    <w:rsid w:val="004904DD"/>
    <w:rsid w:val="004914EF"/>
    <w:rsid w:val="00491BEE"/>
    <w:rsid w:val="00493C83"/>
    <w:rsid w:val="00494BE1"/>
    <w:rsid w:val="00494E0A"/>
    <w:rsid w:val="00497CE5"/>
    <w:rsid w:val="004A10E5"/>
    <w:rsid w:val="004A2AFC"/>
    <w:rsid w:val="004A577E"/>
    <w:rsid w:val="004A57A5"/>
    <w:rsid w:val="004A6AC9"/>
    <w:rsid w:val="004B0245"/>
    <w:rsid w:val="004B61D1"/>
    <w:rsid w:val="004B7198"/>
    <w:rsid w:val="004C00A5"/>
    <w:rsid w:val="004C0F16"/>
    <w:rsid w:val="004C2279"/>
    <w:rsid w:val="004C42B2"/>
    <w:rsid w:val="004C55F0"/>
    <w:rsid w:val="004C6A88"/>
    <w:rsid w:val="004D03D3"/>
    <w:rsid w:val="004D04B3"/>
    <w:rsid w:val="004D071E"/>
    <w:rsid w:val="004D0C9B"/>
    <w:rsid w:val="004D1193"/>
    <w:rsid w:val="004D184E"/>
    <w:rsid w:val="004D252A"/>
    <w:rsid w:val="004D3FE0"/>
    <w:rsid w:val="004D5714"/>
    <w:rsid w:val="004D6CE0"/>
    <w:rsid w:val="004D72E4"/>
    <w:rsid w:val="004E0D39"/>
    <w:rsid w:val="004E28F0"/>
    <w:rsid w:val="004E462F"/>
    <w:rsid w:val="004E57DF"/>
    <w:rsid w:val="004E5890"/>
    <w:rsid w:val="004E67A0"/>
    <w:rsid w:val="004E76DE"/>
    <w:rsid w:val="004F12BB"/>
    <w:rsid w:val="004F3C78"/>
    <w:rsid w:val="004F512C"/>
    <w:rsid w:val="004F5440"/>
    <w:rsid w:val="004F5A15"/>
    <w:rsid w:val="004F6CF3"/>
    <w:rsid w:val="004F6E94"/>
    <w:rsid w:val="004F7365"/>
    <w:rsid w:val="004F7654"/>
    <w:rsid w:val="004F7B7C"/>
    <w:rsid w:val="00501D33"/>
    <w:rsid w:val="005020D6"/>
    <w:rsid w:val="00502223"/>
    <w:rsid w:val="00502E3D"/>
    <w:rsid w:val="005058B0"/>
    <w:rsid w:val="00506ED5"/>
    <w:rsid w:val="00511AA6"/>
    <w:rsid w:val="005152BD"/>
    <w:rsid w:val="00517759"/>
    <w:rsid w:val="005238E6"/>
    <w:rsid w:val="00523DBA"/>
    <w:rsid w:val="00524802"/>
    <w:rsid w:val="00524938"/>
    <w:rsid w:val="00526BB2"/>
    <w:rsid w:val="00526E63"/>
    <w:rsid w:val="0052766D"/>
    <w:rsid w:val="00530DBC"/>
    <w:rsid w:val="00531701"/>
    <w:rsid w:val="005321F4"/>
    <w:rsid w:val="0053257B"/>
    <w:rsid w:val="00532639"/>
    <w:rsid w:val="00534193"/>
    <w:rsid w:val="005349C6"/>
    <w:rsid w:val="00536076"/>
    <w:rsid w:val="005375D1"/>
    <w:rsid w:val="0054207A"/>
    <w:rsid w:val="00542A4D"/>
    <w:rsid w:val="00543096"/>
    <w:rsid w:val="00543545"/>
    <w:rsid w:val="005437CD"/>
    <w:rsid w:val="00545985"/>
    <w:rsid w:val="0054697C"/>
    <w:rsid w:val="00550DE4"/>
    <w:rsid w:val="00550FFF"/>
    <w:rsid w:val="00551313"/>
    <w:rsid w:val="00552D39"/>
    <w:rsid w:val="005533F3"/>
    <w:rsid w:val="0055391D"/>
    <w:rsid w:val="00554A5D"/>
    <w:rsid w:val="00554D34"/>
    <w:rsid w:val="00556726"/>
    <w:rsid w:val="005576C7"/>
    <w:rsid w:val="00557DF7"/>
    <w:rsid w:val="0056086A"/>
    <w:rsid w:val="00561381"/>
    <w:rsid w:val="005618F2"/>
    <w:rsid w:val="0056194D"/>
    <w:rsid w:val="0056202A"/>
    <w:rsid w:val="00562D77"/>
    <w:rsid w:val="00566E51"/>
    <w:rsid w:val="0057043F"/>
    <w:rsid w:val="00572417"/>
    <w:rsid w:val="005732BA"/>
    <w:rsid w:val="0057393F"/>
    <w:rsid w:val="00574173"/>
    <w:rsid w:val="0057499E"/>
    <w:rsid w:val="00574C79"/>
    <w:rsid w:val="00574EEA"/>
    <w:rsid w:val="00575C44"/>
    <w:rsid w:val="00575F80"/>
    <w:rsid w:val="00580257"/>
    <w:rsid w:val="005803D6"/>
    <w:rsid w:val="0058276C"/>
    <w:rsid w:val="00582FB1"/>
    <w:rsid w:val="00583051"/>
    <w:rsid w:val="00583503"/>
    <w:rsid w:val="00586637"/>
    <w:rsid w:val="00587125"/>
    <w:rsid w:val="00590D7E"/>
    <w:rsid w:val="00592C16"/>
    <w:rsid w:val="00594705"/>
    <w:rsid w:val="00595291"/>
    <w:rsid w:val="00595538"/>
    <w:rsid w:val="00596196"/>
    <w:rsid w:val="005962C5"/>
    <w:rsid w:val="005977C5"/>
    <w:rsid w:val="005A1956"/>
    <w:rsid w:val="005A299B"/>
    <w:rsid w:val="005A5870"/>
    <w:rsid w:val="005A5FDE"/>
    <w:rsid w:val="005A7F99"/>
    <w:rsid w:val="005B0434"/>
    <w:rsid w:val="005B2188"/>
    <w:rsid w:val="005B55F1"/>
    <w:rsid w:val="005B5EC2"/>
    <w:rsid w:val="005B6071"/>
    <w:rsid w:val="005C094E"/>
    <w:rsid w:val="005C0962"/>
    <w:rsid w:val="005C0D1D"/>
    <w:rsid w:val="005C5E0C"/>
    <w:rsid w:val="005C7AA4"/>
    <w:rsid w:val="005C7D3B"/>
    <w:rsid w:val="005D28D9"/>
    <w:rsid w:val="005D29DF"/>
    <w:rsid w:val="005D2A6B"/>
    <w:rsid w:val="005D37B7"/>
    <w:rsid w:val="005D610C"/>
    <w:rsid w:val="005E052B"/>
    <w:rsid w:val="005E067E"/>
    <w:rsid w:val="005E3C6C"/>
    <w:rsid w:val="005E57E8"/>
    <w:rsid w:val="005E6220"/>
    <w:rsid w:val="005F0CD3"/>
    <w:rsid w:val="005F0DC7"/>
    <w:rsid w:val="005F26E5"/>
    <w:rsid w:val="005F3204"/>
    <w:rsid w:val="005F407F"/>
    <w:rsid w:val="005F5811"/>
    <w:rsid w:val="005F762C"/>
    <w:rsid w:val="006001B8"/>
    <w:rsid w:val="00601E9B"/>
    <w:rsid w:val="00606F95"/>
    <w:rsid w:val="0061079A"/>
    <w:rsid w:val="0061244D"/>
    <w:rsid w:val="00614F63"/>
    <w:rsid w:val="0061581E"/>
    <w:rsid w:val="0061721D"/>
    <w:rsid w:val="0061765F"/>
    <w:rsid w:val="00620487"/>
    <w:rsid w:val="00620E1A"/>
    <w:rsid w:val="00621EDE"/>
    <w:rsid w:val="0062315D"/>
    <w:rsid w:val="0062332D"/>
    <w:rsid w:val="00630620"/>
    <w:rsid w:val="0063152A"/>
    <w:rsid w:val="0063202A"/>
    <w:rsid w:val="00632B34"/>
    <w:rsid w:val="0063412B"/>
    <w:rsid w:val="00635F4B"/>
    <w:rsid w:val="006368C8"/>
    <w:rsid w:val="00637D39"/>
    <w:rsid w:val="006415DA"/>
    <w:rsid w:val="00642EB0"/>
    <w:rsid w:val="00643439"/>
    <w:rsid w:val="0064394F"/>
    <w:rsid w:val="0064445E"/>
    <w:rsid w:val="00645AEC"/>
    <w:rsid w:val="00646B36"/>
    <w:rsid w:val="00653D32"/>
    <w:rsid w:val="0065552D"/>
    <w:rsid w:val="00661084"/>
    <w:rsid w:val="006621C0"/>
    <w:rsid w:val="006632CB"/>
    <w:rsid w:val="00663817"/>
    <w:rsid w:val="0066419E"/>
    <w:rsid w:val="0066468C"/>
    <w:rsid w:val="00665F23"/>
    <w:rsid w:val="00666BD5"/>
    <w:rsid w:val="0066711E"/>
    <w:rsid w:val="00670B08"/>
    <w:rsid w:val="00672665"/>
    <w:rsid w:val="00673051"/>
    <w:rsid w:val="00674462"/>
    <w:rsid w:val="00676BB5"/>
    <w:rsid w:val="006775FE"/>
    <w:rsid w:val="00681FF0"/>
    <w:rsid w:val="00682075"/>
    <w:rsid w:val="00691748"/>
    <w:rsid w:val="00691EE3"/>
    <w:rsid w:val="00692F1A"/>
    <w:rsid w:val="0069431B"/>
    <w:rsid w:val="00695CFB"/>
    <w:rsid w:val="006A1A5E"/>
    <w:rsid w:val="006A2F16"/>
    <w:rsid w:val="006A4369"/>
    <w:rsid w:val="006A441C"/>
    <w:rsid w:val="006A4811"/>
    <w:rsid w:val="006A699B"/>
    <w:rsid w:val="006A7150"/>
    <w:rsid w:val="006A7BB1"/>
    <w:rsid w:val="006A7FA2"/>
    <w:rsid w:val="006B00E7"/>
    <w:rsid w:val="006B01EB"/>
    <w:rsid w:val="006B0C01"/>
    <w:rsid w:val="006B3D01"/>
    <w:rsid w:val="006B5408"/>
    <w:rsid w:val="006C0AA2"/>
    <w:rsid w:val="006C1CAC"/>
    <w:rsid w:val="006C4F44"/>
    <w:rsid w:val="006C5C0A"/>
    <w:rsid w:val="006C5E3A"/>
    <w:rsid w:val="006C6A57"/>
    <w:rsid w:val="006C77D2"/>
    <w:rsid w:val="006D0EDF"/>
    <w:rsid w:val="006D109A"/>
    <w:rsid w:val="006D4A13"/>
    <w:rsid w:val="006D53A3"/>
    <w:rsid w:val="006D703D"/>
    <w:rsid w:val="006D7A92"/>
    <w:rsid w:val="006E190F"/>
    <w:rsid w:val="006E2D7F"/>
    <w:rsid w:val="006E33F5"/>
    <w:rsid w:val="006E3A06"/>
    <w:rsid w:val="006E3A57"/>
    <w:rsid w:val="006E7D5F"/>
    <w:rsid w:val="006F218D"/>
    <w:rsid w:val="006F685E"/>
    <w:rsid w:val="006F6F54"/>
    <w:rsid w:val="006F7243"/>
    <w:rsid w:val="006F77CE"/>
    <w:rsid w:val="0070132D"/>
    <w:rsid w:val="0070364E"/>
    <w:rsid w:val="007037F9"/>
    <w:rsid w:val="0070428C"/>
    <w:rsid w:val="00704486"/>
    <w:rsid w:val="00706ED9"/>
    <w:rsid w:val="00707748"/>
    <w:rsid w:val="00710328"/>
    <w:rsid w:val="0071109B"/>
    <w:rsid w:val="007112B3"/>
    <w:rsid w:val="00711F1E"/>
    <w:rsid w:val="007127EC"/>
    <w:rsid w:val="007128C0"/>
    <w:rsid w:val="00712EAB"/>
    <w:rsid w:val="00715071"/>
    <w:rsid w:val="007175F5"/>
    <w:rsid w:val="00721D75"/>
    <w:rsid w:val="00722ACF"/>
    <w:rsid w:val="007231E1"/>
    <w:rsid w:val="00723E2B"/>
    <w:rsid w:val="00725512"/>
    <w:rsid w:val="007265DA"/>
    <w:rsid w:val="007265F2"/>
    <w:rsid w:val="00726964"/>
    <w:rsid w:val="00726C0A"/>
    <w:rsid w:val="00726CB7"/>
    <w:rsid w:val="007326FD"/>
    <w:rsid w:val="0073365E"/>
    <w:rsid w:val="00733754"/>
    <w:rsid w:val="0073587F"/>
    <w:rsid w:val="00737E17"/>
    <w:rsid w:val="00741B15"/>
    <w:rsid w:val="007421C9"/>
    <w:rsid w:val="007426A3"/>
    <w:rsid w:val="00743171"/>
    <w:rsid w:val="007439BB"/>
    <w:rsid w:val="00743EE1"/>
    <w:rsid w:val="00744F8F"/>
    <w:rsid w:val="00746373"/>
    <w:rsid w:val="00746733"/>
    <w:rsid w:val="00746C7A"/>
    <w:rsid w:val="007477FC"/>
    <w:rsid w:val="00750226"/>
    <w:rsid w:val="00752890"/>
    <w:rsid w:val="00753499"/>
    <w:rsid w:val="00754680"/>
    <w:rsid w:val="00755ED2"/>
    <w:rsid w:val="00756B07"/>
    <w:rsid w:val="007573B5"/>
    <w:rsid w:val="007577DC"/>
    <w:rsid w:val="007615D8"/>
    <w:rsid w:val="00761940"/>
    <w:rsid w:val="00761A76"/>
    <w:rsid w:val="007627E5"/>
    <w:rsid w:val="00762873"/>
    <w:rsid w:val="007638C4"/>
    <w:rsid w:val="00772EB2"/>
    <w:rsid w:val="00777285"/>
    <w:rsid w:val="0077729F"/>
    <w:rsid w:val="007822C9"/>
    <w:rsid w:val="007901E3"/>
    <w:rsid w:val="00790327"/>
    <w:rsid w:val="00790894"/>
    <w:rsid w:val="00794CF1"/>
    <w:rsid w:val="00795F5F"/>
    <w:rsid w:val="007968A7"/>
    <w:rsid w:val="0079768F"/>
    <w:rsid w:val="007A05CB"/>
    <w:rsid w:val="007A2ABF"/>
    <w:rsid w:val="007A51CA"/>
    <w:rsid w:val="007B187F"/>
    <w:rsid w:val="007B2212"/>
    <w:rsid w:val="007B3F36"/>
    <w:rsid w:val="007B4099"/>
    <w:rsid w:val="007B5A7B"/>
    <w:rsid w:val="007B7FD6"/>
    <w:rsid w:val="007C011F"/>
    <w:rsid w:val="007C0D14"/>
    <w:rsid w:val="007C420A"/>
    <w:rsid w:val="007D36AC"/>
    <w:rsid w:val="007D38C7"/>
    <w:rsid w:val="007D4DAB"/>
    <w:rsid w:val="007D792E"/>
    <w:rsid w:val="007D7EB3"/>
    <w:rsid w:val="007E1E57"/>
    <w:rsid w:val="007E248C"/>
    <w:rsid w:val="007E38E9"/>
    <w:rsid w:val="007F1536"/>
    <w:rsid w:val="007F238F"/>
    <w:rsid w:val="007F5CB3"/>
    <w:rsid w:val="007F6EA1"/>
    <w:rsid w:val="00800B11"/>
    <w:rsid w:val="00801538"/>
    <w:rsid w:val="00801C38"/>
    <w:rsid w:val="0080283D"/>
    <w:rsid w:val="00803353"/>
    <w:rsid w:val="008106CA"/>
    <w:rsid w:val="008114A0"/>
    <w:rsid w:val="00815675"/>
    <w:rsid w:val="00816DAC"/>
    <w:rsid w:val="00821DE5"/>
    <w:rsid w:val="008242E8"/>
    <w:rsid w:val="0082468C"/>
    <w:rsid w:val="00825367"/>
    <w:rsid w:val="008263B3"/>
    <w:rsid w:val="008268C0"/>
    <w:rsid w:val="00827F43"/>
    <w:rsid w:val="00830B1A"/>
    <w:rsid w:val="008320B9"/>
    <w:rsid w:val="008329A5"/>
    <w:rsid w:val="00833BCC"/>
    <w:rsid w:val="008348AE"/>
    <w:rsid w:val="008404C7"/>
    <w:rsid w:val="00841952"/>
    <w:rsid w:val="00841EE8"/>
    <w:rsid w:val="00842941"/>
    <w:rsid w:val="008437DA"/>
    <w:rsid w:val="00843A32"/>
    <w:rsid w:val="00845964"/>
    <w:rsid w:val="00845A49"/>
    <w:rsid w:val="00845D93"/>
    <w:rsid w:val="00846463"/>
    <w:rsid w:val="00846C54"/>
    <w:rsid w:val="0084737A"/>
    <w:rsid w:val="00850AD0"/>
    <w:rsid w:val="00854F78"/>
    <w:rsid w:val="0085515C"/>
    <w:rsid w:val="008554AB"/>
    <w:rsid w:val="00857CA0"/>
    <w:rsid w:val="00857CF7"/>
    <w:rsid w:val="00860341"/>
    <w:rsid w:val="00860956"/>
    <w:rsid w:val="0086143E"/>
    <w:rsid w:val="00861938"/>
    <w:rsid w:val="008619C6"/>
    <w:rsid w:val="008635FF"/>
    <w:rsid w:val="00864F4B"/>
    <w:rsid w:val="00866698"/>
    <w:rsid w:val="00867326"/>
    <w:rsid w:val="0087377E"/>
    <w:rsid w:val="00873837"/>
    <w:rsid w:val="00873C25"/>
    <w:rsid w:val="00873E1B"/>
    <w:rsid w:val="00873FE8"/>
    <w:rsid w:val="00875732"/>
    <w:rsid w:val="00876894"/>
    <w:rsid w:val="0087737E"/>
    <w:rsid w:val="00880C35"/>
    <w:rsid w:val="00880DB7"/>
    <w:rsid w:val="00881A72"/>
    <w:rsid w:val="00882723"/>
    <w:rsid w:val="00882BFB"/>
    <w:rsid w:val="00883F31"/>
    <w:rsid w:val="008853FD"/>
    <w:rsid w:val="00885423"/>
    <w:rsid w:val="00885F0D"/>
    <w:rsid w:val="0088670F"/>
    <w:rsid w:val="008878FB"/>
    <w:rsid w:val="008917BA"/>
    <w:rsid w:val="00892D93"/>
    <w:rsid w:val="00895673"/>
    <w:rsid w:val="008964B4"/>
    <w:rsid w:val="00897B01"/>
    <w:rsid w:val="008A0313"/>
    <w:rsid w:val="008A138F"/>
    <w:rsid w:val="008A2B3B"/>
    <w:rsid w:val="008A357D"/>
    <w:rsid w:val="008A4E3D"/>
    <w:rsid w:val="008A5840"/>
    <w:rsid w:val="008A6312"/>
    <w:rsid w:val="008B3052"/>
    <w:rsid w:val="008B476F"/>
    <w:rsid w:val="008B5391"/>
    <w:rsid w:val="008B632A"/>
    <w:rsid w:val="008B71BE"/>
    <w:rsid w:val="008B74BE"/>
    <w:rsid w:val="008C3ABC"/>
    <w:rsid w:val="008C4457"/>
    <w:rsid w:val="008C4786"/>
    <w:rsid w:val="008C503B"/>
    <w:rsid w:val="008C6C49"/>
    <w:rsid w:val="008C7069"/>
    <w:rsid w:val="008D42BD"/>
    <w:rsid w:val="008D5E55"/>
    <w:rsid w:val="008D7593"/>
    <w:rsid w:val="008E0442"/>
    <w:rsid w:val="008E126D"/>
    <w:rsid w:val="008E13E0"/>
    <w:rsid w:val="008E1670"/>
    <w:rsid w:val="008E3176"/>
    <w:rsid w:val="008E32A8"/>
    <w:rsid w:val="008E34F9"/>
    <w:rsid w:val="008E356A"/>
    <w:rsid w:val="008E4C94"/>
    <w:rsid w:val="008E669E"/>
    <w:rsid w:val="008E793C"/>
    <w:rsid w:val="008E7EBB"/>
    <w:rsid w:val="008F0838"/>
    <w:rsid w:val="008F0C4D"/>
    <w:rsid w:val="008F382E"/>
    <w:rsid w:val="008F4E1C"/>
    <w:rsid w:val="008F64B7"/>
    <w:rsid w:val="00901660"/>
    <w:rsid w:val="0090249E"/>
    <w:rsid w:val="0090276B"/>
    <w:rsid w:val="00903C42"/>
    <w:rsid w:val="00912ECD"/>
    <w:rsid w:val="00914EF4"/>
    <w:rsid w:val="00916E9D"/>
    <w:rsid w:val="00920C5F"/>
    <w:rsid w:val="00921660"/>
    <w:rsid w:val="00921C45"/>
    <w:rsid w:val="009229D0"/>
    <w:rsid w:val="009231E9"/>
    <w:rsid w:val="009242AB"/>
    <w:rsid w:val="0092469B"/>
    <w:rsid w:val="00924877"/>
    <w:rsid w:val="00925331"/>
    <w:rsid w:val="0092749E"/>
    <w:rsid w:val="0092796E"/>
    <w:rsid w:val="00927D91"/>
    <w:rsid w:val="00927FD2"/>
    <w:rsid w:val="00930128"/>
    <w:rsid w:val="009302F9"/>
    <w:rsid w:val="00934070"/>
    <w:rsid w:val="00934C5E"/>
    <w:rsid w:val="00940328"/>
    <w:rsid w:val="00942714"/>
    <w:rsid w:val="00942C71"/>
    <w:rsid w:val="00944039"/>
    <w:rsid w:val="0094459C"/>
    <w:rsid w:val="009449C9"/>
    <w:rsid w:val="00945491"/>
    <w:rsid w:val="009502C6"/>
    <w:rsid w:val="009504A3"/>
    <w:rsid w:val="00950BA5"/>
    <w:rsid w:val="0095128C"/>
    <w:rsid w:val="009533F2"/>
    <w:rsid w:val="00953763"/>
    <w:rsid w:val="009563C1"/>
    <w:rsid w:val="0095658B"/>
    <w:rsid w:val="0096036D"/>
    <w:rsid w:val="009606A9"/>
    <w:rsid w:val="009631B2"/>
    <w:rsid w:val="00964ECE"/>
    <w:rsid w:val="00965C5B"/>
    <w:rsid w:val="00970A1A"/>
    <w:rsid w:val="009711F8"/>
    <w:rsid w:val="00973229"/>
    <w:rsid w:val="00974FD5"/>
    <w:rsid w:val="009779CC"/>
    <w:rsid w:val="00977FBD"/>
    <w:rsid w:val="009813A2"/>
    <w:rsid w:val="00981755"/>
    <w:rsid w:val="00982FAF"/>
    <w:rsid w:val="009839BE"/>
    <w:rsid w:val="00985C33"/>
    <w:rsid w:val="00985E8A"/>
    <w:rsid w:val="00985F16"/>
    <w:rsid w:val="00986690"/>
    <w:rsid w:val="00986F78"/>
    <w:rsid w:val="00987644"/>
    <w:rsid w:val="009910D4"/>
    <w:rsid w:val="00992406"/>
    <w:rsid w:val="00992599"/>
    <w:rsid w:val="00993573"/>
    <w:rsid w:val="00993EF7"/>
    <w:rsid w:val="00994751"/>
    <w:rsid w:val="00994C43"/>
    <w:rsid w:val="00994DE4"/>
    <w:rsid w:val="009954AD"/>
    <w:rsid w:val="00995DDA"/>
    <w:rsid w:val="00997AF5"/>
    <w:rsid w:val="009A52AF"/>
    <w:rsid w:val="009A58FB"/>
    <w:rsid w:val="009A5FF8"/>
    <w:rsid w:val="009B0DF0"/>
    <w:rsid w:val="009B4330"/>
    <w:rsid w:val="009B4E40"/>
    <w:rsid w:val="009B4F99"/>
    <w:rsid w:val="009B7473"/>
    <w:rsid w:val="009C1168"/>
    <w:rsid w:val="009C1989"/>
    <w:rsid w:val="009C3AF9"/>
    <w:rsid w:val="009C3F9B"/>
    <w:rsid w:val="009C4551"/>
    <w:rsid w:val="009C457B"/>
    <w:rsid w:val="009C47A4"/>
    <w:rsid w:val="009D1972"/>
    <w:rsid w:val="009D23FC"/>
    <w:rsid w:val="009D2505"/>
    <w:rsid w:val="009D3487"/>
    <w:rsid w:val="009D552B"/>
    <w:rsid w:val="009D5720"/>
    <w:rsid w:val="009D6F2D"/>
    <w:rsid w:val="009D6F34"/>
    <w:rsid w:val="009E2B44"/>
    <w:rsid w:val="009E2DD5"/>
    <w:rsid w:val="009E3013"/>
    <w:rsid w:val="009E38D5"/>
    <w:rsid w:val="009E39C3"/>
    <w:rsid w:val="009E6BC8"/>
    <w:rsid w:val="009F0BE3"/>
    <w:rsid w:val="009F1F8E"/>
    <w:rsid w:val="009F6A81"/>
    <w:rsid w:val="009F7E9D"/>
    <w:rsid w:val="00A001F3"/>
    <w:rsid w:val="00A004F9"/>
    <w:rsid w:val="00A05D16"/>
    <w:rsid w:val="00A068C6"/>
    <w:rsid w:val="00A075CD"/>
    <w:rsid w:val="00A11E0B"/>
    <w:rsid w:val="00A130A9"/>
    <w:rsid w:val="00A14704"/>
    <w:rsid w:val="00A156F5"/>
    <w:rsid w:val="00A20785"/>
    <w:rsid w:val="00A22820"/>
    <w:rsid w:val="00A22CF6"/>
    <w:rsid w:val="00A240E1"/>
    <w:rsid w:val="00A24B1A"/>
    <w:rsid w:val="00A27DCB"/>
    <w:rsid w:val="00A32967"/>
    <w:rsid w:val="00A338D3"/>
    <w:rsid w:val="00A34580"/>
    <w:rsid w:val="00A356CD"/>
    <w:rsid w:val="00A3581D"/>
    <w:rsid w:val="00A36CFA"/>
    <w:rsid w:val="00A40459"/>
    <w:rsid w:val="00A40A84"/>
    <w:rsid w:val="00A41812"/>
    <w:rsid w:val="00A429FD"/>
    <w:rsid w:val="00A43D7F"/>
    <w:rsid w:val="00A4412E"/>
    <w:rsid w:val="00A46DA6"/>
    <w:rsid w:val="00A47405"/>
    <w:rsid w:val="00A47835"/>
    <w:rsid w:val="00A522FE"/>
    <w:rsid w:val="00A526CB"/>
    <w:rsid w:val="00A5400D"/>
    <w:rsid w:val="00A55F20"/>
    <w:rsid w:val="00A56BFE"/>
    <w:rsid w:val="00A573B2"/>
    <w:rsid w:val="00A57A8B"/>
    <w:rsid w:val="00A6500B"/>
    <w:rsid w:val="00A66DBB"/>
    <w:rsid w:val="00A67C4A"/>
    <w:rsid w:val="00A7004C"/>
    <w:rsid w:val="00A70E38"/>
    <w:rsid w:val="00A73D79"/>
    <w:rsid w:val="00A773C2"/>
    <w:rsid w:val="00A7777B"/>
    <w:rsid w:val="00A80C6A"/>
    <w:rsid w:val="00A816F7"/>
    <w:rsid w:val="00A81A98"/>
    <w:rsid w:val="00A82AAC"/>
    <w:rsid w:val="00A83D43"/>
    <w:rsid w:val="00A8565D"/>
    <w:rsid w:val="00A860F6"/>
    <w:rsid w:val="00A86B62"/>
    <w:rsid w:val="00A8755B"/>
    <w:rsid w:val="00A87B7F"/>
    <w:rsid w:val="00A87F39"/>
    <w:rsid w:val="00A90CA3"/>
    <w:rsid w:val="00A9249D"/>
    <w:rsid w:val="00A92C3F"/>
    <w:rsid w:val="00A92DC8"/>
    <w:rsid w:val="00A939A9"/>
    <w:rsid w:val="00A941DD"/>
    <w:rsid w:val="00A95740"/>
    <w:rsid w:val="00A963FB"/>
    <w:rsid w:val="00A97C43"/>
    <w:rsid w:val="00AA140B"/>
    <w:rsid w:val="00AA3B56"/>
    <w:rsid w:val="00AA3E46"/>
    <w:rsid w:val="00AA4A4C"/>
    <w:rsid w:val="00AA4D83"/>
    <w:rsid w:val="00AB1187"/>
    <w:rsid w:val="00AB16A3"/>
    <w:rsid w:val="00AB1A11"/>
    <w:rsid w:val="00AB414C"/>
    <w:rsid w:val="00AB4230"/>
    <w:rsid w:val="00AB4DEA"/>
    <w:rsid w:val="00AB57B0"/>
    <w:rsid w:val="00AB582F"/>
    <w:rsid w:val="00AB628C"/>
    <w:rsid w:val="00AB687A"/>
    <w:rsid w:val="00AC036F"/>
    <w:rsid w:val="00AC1C3B"/>
    <w:rsid w:val="00AC4DF5"/>
    <w:rsid w:val="00AC5834"/>
    <w:rsid w:val="00AC644A"/>
    <w:rsid w:val="00AC72A7"/>
    <w:rsid w:val="00AD1910"/>
    <w:rsid w:val="00AD3585"/>
    <w:rsid w:val="00AD3DEF"/>
    <w:rsid w:val="00AD4898"/>
    <w:rsid w:val="00AD5002"/>
    <w:rsid w:val="00AD545B"/>
    <w:rsid w:val="00AD56A5"/>
    <w:rsid w:val="00AD674B"/>
    <w:rsid w:val="00AD7B82"/>
    <w:rsid w:val="00AE0CC0"/>
    <w:rsid w:val="00AE2671"/>
    <w:rsid w:val="00AE501B"/>
    <w:rsid w:val="00AE51C5"/>
    <w:rsid w:val="00AE6F8E"/>
    <w:rsid w:val="00AF0F42"/>
    <w:rsid w:val="00AF5C34"/>
    <w:rsid w:val="00AF7833"/>
    <w:rsid w:val="00B00C45"/>
    <w:rsid w:val="00B010B6"/>
    <w:rsid w:val="00B03D9C"/>
    <w:rsid w:val="00B04EA4"/>
    <w:rsid w:val="00B05EFF"/>
    <w:rsid w:val="00B11F18"/>
    <w:rsid w:val="00B13984"/>
    <w:rsid w:val="00B141AB"/>
    <w:rsid w:val="00B14FD2"/>
    <w:rsid w:val="00B151A4"/>
    <w:rsid w:val="00B15B14"/>
    <w:rsid w:val="00B15BEC"/>
    <w:rsid w:val="00B2136C"/>
    <w:rsid w:val="00B225D6"/>
    <w:rsid w:val="00B230FD"/>
    <w:rsid w:val="00B24BDA"/>
    <w:rsid w:val="00B2575F"/>
    <w:rsid w:val="00B26068"/>
    <w:rsid w:val="00B30116"/>
    <w:rsid w:val="00B31480"/>
    <w:rsid w:val="00B318A9"/>
    <w:rsid w:val="00B319B3"/>
    <w:rsid w:val="00B3253D"/>
    <w:rsid w:val="00B33206"/>
    <w:rsid w:val="00B442B7"/>
    <w:rsid w:val="00B45C16"/>
    <w:rsid w:val="00B473A5"/>
    <w:rsid w:val="00B50076"/>
    <w:rsid w:val="00B51143"/>
    <w:rsid w:val="00B51690"/>
    <w:rsid w:val="00B523B4"/>
    <w:rsid w:val="00B5323A"/>
    <w:rsid w:val="00B53463"/>
    <w:rsid w:val="00B543F3"/>
    <w:rsid w:val="00B548CE"/>
    <w:rsid w:val="00B55C35"/>
    <w:rsid w:val="00B61C68"/>
    <w:rsid w:val="00B63B2D"/>
    <w:rsid w:val="00B63EC2"/>
    <w:rsid w:val="00B64A53"/>
    <w:rsid w:val="00B65405"/>
    <w:rsid w:val="00B70511"/>
    <w:rsid w:val="00B72B47"/>
    <w:rsid w:val="00B72D1B"/>
    <w:rsid w:val="00B734CC"/>
    <w:rsid w:val="00B74861"/>
    <w:rsid w:val="00B74CD6"/>
    <w:rsid w:val="00B7542A"/>
    <w:rsid w:val="00B75D5C"/>
    <w:rsid w:val="00B761DC"/>
    <w:rsid w:val="00B76641"/>
    <w:rsid w:val="00B77FA8"/>
    <w:rsid w:val="00B8014F"/>
    <w:rsid w:val="00B80C61"/>
    <w:rsid w:val="00B831C6"/>
    <w:rsid w:val="00B83423"/>
    <w:rsid w:val="00B84974"/>
    <w:rsid w:val="00B85199"/>
    <w:rsid w:val="00B867C0"/>
    <w:rsid w:val="00B871C5"/>
    <w:rsid w:val="00B87867"/>
    <w:rsid w:val="00B90FE8"/>
    <w:rsid w:val="00B91720"/>
    <w:rsid w:val="00B91AED"/>
    <w:rsid w:val="00B932BB"/>
    <w:rsid w:val="00B958E2"/>
    <w:rsid w:val="00BA0AC7"/>
    <w:rsid w:val="00BA125B"/>
    <w:rsid w:val="00BA2523"/>
    <w:rsid w:val="00BA30B0"/>
    <w:rsid w:val="00BB03B8"/>
    <w:rsid w:val="00BB33F5"/>
    <w:rsid w:val="00BB6386"/>
    <w:rsid w:val="00BB7275"/>
    <w:rsid w:val="00BC0805"/>
    <w:rsid w:val="00BC4A9C"/>
    <w:rsid w:val="00BC5458"/>
    <w:rsid w:val="00BC68B4"/>
    <w:rsid w:val="00BC7300"/>
    <w:rsid w:val="00BD029B"/>
    <w:rsid w:val="00BD0A0D"/>
    <w:rsid w:val="00BD2E14"/>
    <w:rsid w:val="00BD4209"/>
    <w:rsid w:val="00BD6393"/>
    <w:rsid w:val="00BD67BB"/>
    <w:rsid w:val="00BE2056"/>
    <w:rsid w:val="00BE383F"/>
    <w:rsid w:val="00BE4325"/>
    <w:rsid w:val="00BE4957"/>
    <w:rsid w:val="00BE4EE2"/>
    <w:rsid w:val="00BE7909"/>
    <w:rsid w:val="00BF197C"/>
    <w:rsid w:val="00BF1E24"/>
    <w:rsid w:val="00BF3FFA"/>
    <w:rsid w:val="00BF52FA"/>
    <w:rsid w:val="00BF5577"/>
    <w:rsid w:val="00BF6DA0"/>
    <w:rsid w:val="00C00D1E"/>
    <w:rsid w:val="00C01208"/>
    <w:rsid w:val="00C01285"/>
    <w:rsid w:val="00C0174B"/>
    <w:rsid w:val="00C02984"/>
    <w:rsid w:val="00C02BBF"/>
    <w:rsid w:val="00C0390B"/>
    <w:rsid w:val="00C04036"/>
    <w:rsid w:val="00C064F7"/>
    <w:rsid w:val="00C07024"/>
    <w:rsid w:val="00C07BBB"/>
    <w:rsid w:val="00C11FFA"/>
    <w:rsid w:val="00C1303D"/>
    <w:rsid w:val="00C14504"/>
    <w:rsid w:val="00C149DC"/>
    <w:rsid w:val="00C1598D"/>
    <w:rsid w:val="00C16415"/>
    <w:rsid w:val="00C17ED2"/>
    <w:rsid w:val="00C17F98"/>
    <w:rsid w:val="00C201F7"/>
    <w:rsid w:val="00C20A5F"/>
    <w:rsid w:val="00C2155B"/>
    <w:rsid w:val="00C21601"/>
    <w:rsid w:val="00C22FE0"/>
    <w:rsid w:val="00C247ED"/>
    <w:rsid w:val="00C27A27"/>
    <w:rsid w:val="00C27F8C"/>
    <w:rsid w:val="00C30560"/>
    <w:rsid w:val="00C31F61"/>
    <w:rsid w:val="00C324D4"/>
    <w:rsid w:val="00C328D1"/>
    <w:rsid w:val="00C34DEE"/>
    <w:rsid w:val="00C35229"/>
    <w:rsid w:val="00C353AD"/>
    <w:rsid w:val="00C35949"/>
    <w:rsid w:val="00C35C25"/>
    <w:rsid w:val="00C35E66"/>
    <w:rsid w:val="00C36E8F"/>
    <w:rsid w:val="00C374F8"/>
    <w:rsid w:val="00C405DE"/>
    <w:rsid w:val="00C407E2"/>
    <w:rsid w:val="00C40C81"/>
    <w:rsid w:val="00C40DC8"/>
    <w:rsid w:val="00C418BD"/>
    <w:rsid w:val="00C450F4"/>
    <w:rsid w:val="00C45802"/>
    <w:rsid w:val="00C459F5"/>
    <w:rsid w:val="00C47D02"/>
    <w:rsid w:val="00C5312E"/>
    <w:rsid w:val="00C55890"/>
    <w:rsid w:val="00C56E1D"/>
    <w:rsid w:val="00C5726B"/>
    <w:rsid w:val="00C602F4"/>
    <w:rsid w:val="00C606B2"/>
    <w:rsid w:val="00C60C3D"/>
    <w:rsid w:val="00C62C1F"/>
    <w:rsid w:val="00C66144"/>
    <w:rsid w:val="00C66AE3"/>
    <w:rsid w:val="00C671A3"/>
    <w:rsid w:val="00C6726F"/>
    <w:rsid w:val="00C67D6A"/>
    <w:rsid w:val="00C73011"/>
    <w:rsid w:val="00C75408"/>
    <w:rsid w:val="00C771B3"/>
    <w:rsid w:val="00C80F41"/>
    <w:rsid w:val="00C81028"/>
    <w:rsid w:val="00C82710"/>
    <w:rsid w:val="00C8411B"/>
    <w:rsid w:val="00C866ED"/>
    <w:rsid w:val="00C938DD"/>
    <w:rsid w:val="00C93A47"/>
    <w:rsid w:val="00C9423A"/>
    <w:rsid w:val="00C9733F"/>
    <w:rsid w:val="00CA0A93"/>
    <w:rsid w:val="00CA128A"/>
    <w:rsid w:val="00CA21AD"/>
    <w:rsid w:val="00CA45D5"/>
    <w:rsid w:val="00CA519B"/>
    <w:rsid w:val="00CA6419"/>
    <w:rsid w:val="00CA693D"/>
    <w:rsid w:val="00CB0812"/>
    <w:rsid w:val="00CB13A7"/>
    <w:rsid w:val="00CB15D5"/>
    <w:rsid w:val="00CB3B21"/>
    <w:rsid w:val="00CB3ED9"/>
    <w:rsid w:val="00CB43E5"/>
    <w:rsid w:val="00CB5115"/>
    <w:rsid w:val="00CB519C"/>
    <w:rsid w:val="00CB6F3E"/>
    <w:rsid w:val="00CC023C"/>
    <w:rsid w:val="00CC0F03"/>
    <w:rsid w:val="00CC15DC"/>
    <w:rsid w:val="00CC1B93"/>
    <w:rsid w:val="00CC2F7F"/>
    <w:rsid w:val="00CC30A4"/>
    <w:rsid w:val="00CC444A"/>
    <w:rsid w:val="00CC4A06"/>
    <w:rsid w:val="00CC4BA1"/>
    <w:rsid w:val="00CC4F4B"/>
    <w:rsid w:val="00CC755A"/>
    <w:rsid w:val="00CC79F1"/>
    <w:rsid w:val="00CD0B35"/>
    <w:rsid w:val="00CD0D9A"/>
    <w:rsid w:val="00CD4878"/>
    <w:rsid w:val="00CD4DF5"/>
    <w:rsid w:val="00CD5931"/>
    <w:rsid w:val="00CD674F"/>
    <w:rsid w:val="00CD6AAD"/>
    <w:rsid w:val="00CE0EE0"/>
    <w:rsid w:val="00CE19F3"/>
    <w:rsid w:val="00CE335A"/>
    <w:rsid w:val="00CE3A37"/>
    <w:rsid w:val="00CE3EA1"/>
    <w:rsid w:val="00CE402E"/>
    <w:rsid w:val="00CE54F8"/>
    <w:rsid w:val="00CE5588"/>
    <w:rsid w:val="00CE6E50"/>
    <w:rsid w:val="00CE70FF"/>
    <w:rsid w:val="00CE747A"/>
    <w:rsid w:val="00CF3B18"/>
    <w:rsid w:val="00CF3BEA"/>
    <w:rsid w:val="00CF4A25"/>
    <w:rsid w:val="00CF4F53"/>
    <w:rsid w:val="00CF4F5C"/>
    <w:rsid w:val="00D008B9"/>
    <w:rsid w:val="00D009AB"/>
    <w:rsid w:val="00D02332"/>
    <w:rsid w:val="00D02DC7"/>
    <w:rsid w:val="00D037C5"/>
    <w:rsid w:val="00D056CF"/>
    <w:rsid w:val="00D07A65"/>
    <w:rsid w:val="00D07FD4"/>
    <w:rsid w:val="00D110A8"/>
    <w:rsid w:val="00D1166D"/>
    <w:rsid w:val="00D12690"/>
    <w:rsid w:val="00D12A4D"/>
    <w:rsid w:val="00D13207"/>
    <w:rsid w:val="00D13444"/>
    <w:rsid w:val="00D14C01"/>
    <w:rsid w:val="00D15796"/>
    <w:rsid w:val="00D178F1"/>
    <w:rsid w:val="00D204E6"/>
    <w:rsid w:val="00D206E4"/>
    <w:rsid w:val="00D21304"/>
    <w:rsid w:val="00D2783D"/>
    <w:rsid w:val="00D31FFE"/>
    <w:rsid w:val="00D3311F"/>
    <w:rsid w:val="00D344EC"/>
    <w:rsid w:val="00D345E2"/>
    <w:rsid w:val="00D363C7"/>
    <w:rsid w:val="00D374E6"/>
    <w:rsid w:val="00D42F49"/>
    <w:rsid w:val="00D455FE"/>
    <w:rsid w:val="00D46276"/>
    <w:rsid w:val="00D46707"/>
    <w:rsid w:val="00D50C81"/>
    <w:rsid w:val="00D5171E"/>
    <w:rsid w:val="00D52868"/>
    <w:rsid w:val="00D54665"/>
    <w:rsid w:val="00D54DFA"/>
    <w:rsid w:val="00D556F3"/>
    <w:rsid w:val="00D60A49"/>
    <w:rsid w:val="00D61F99"/>
    <w:rsid w:val="00D63183"/>
    <w:rsid w:val="00D6755F"/>
    <w:rsid w:val="00D675A7"/>
    <w:rsid w:val="00D71120"/>
    <w:rsid w:val="00D721C0"/>
    <w:rsid w:val="00D73259"/>
    <w:rsid w:val="00D734C6"/>
    <w:rsid w:val="00D7459F"/>
    <w:rsid w:val="00D7471F"/>
    <w:rsid w:val="00D767D2"/>
    <w:rsid w:val="00D80804"/>
    <w:rsid w:val="00D814CA"/>
    <w:rsid w:val="00D82261"/>
    <w:rsid w:val="00D847F5"/>
    <w:rsid w:val="00D86370"/>
    <w:rsid w:val="00D8741A"/>
    <w:rsid w:val="00D915FE"/>
    <w:rsid w:val="00D91846"/>
    <w:rsid w:val="00D919D8"/>
    <w:rsid w:val="00D91DD5"/>
    <w:rsid w:val="00D941B3"/>
    <w:rsid w:val="00D94F14"/>
    <w:rsid w:val="00D969FE"/>
    <w:rsid w:val="00D96F0C"/>
    <w:rsid w:val="00DA0555"/>
    <w:rsid w:val="00DA0932"/>
    <w:rsid w:val="00DA0BA3"/>
    <w:rsid w:val="00DA2B0A"/>
    <w:rsid w:val="00DA3519"/>
    <w:rsid w:val="00DA373A"/>
    <w:rsid w:val="00DA4358"/>
    <w:rsid w:val="00DA6948"/>
    <w:rsid w:val="00DA77DD"/>
    <w:rsid w:val="00DA78A0"/>
    <w:rsid w:val="00DA7B58"/>
    <w:rsid w:val="00DB1201"/>
    <w:rsid w:val="00DB1F8B"/>
    <w:rsid w:val="00DB2342"/>
    <w:rsid w:val="00DB275C"/>
    <w:rsid w:val="00DB302B"/>
    <w:rsid w:val="00DB66EA"/>
    <w:rsid w:val="00DB7596"/>
    <w:rsid w:val="00DC0BE5"/>
    <w:rsid w:val="00DC10A3"/>
    <w:rsid w:val="00DC15E7"/>
    <w:rsid w:val="00DC3BAC"/>
    <w:rsid w:val="00DC4175"/>
    <w:rsid w:val="00DC4963"/>
    <w:rsid w:val="00DC4F54"/>
    <w:rsid w:val="00DC570A"/>
    <w:rsid w:val="00DC6B89"/>
    <w:rsid w:val="00DD180F"/>
    <w:rsid w:val="00DD21E1"/>
    <w:rsid w:val="00DD22CF"/>
    <w:rsid w:val="00DD5082"/>
    <w:rsid w:val="00DD50C5"/>
    <w:rsid w:val="00DD50E4"/>
    <w:rsid w:val="00DD671F"/>
    <w:rsid w:val="00DD6999"/>
    <w:rsid w:val="00DD780C"/>
    <w:rsid w:val="00DD7FAA"/>
    <w:rsid w:val="00DE400B"/>
    <w:rsid w:val="00DE57CB"/>
    <w:rsid w:val="00DE5BFD"/>
    <w:rsid w:val="00DE5E8C"/>
    <w:rsid w:val="00DE5EB9"/>
    <w:rsid w:val="00DE6124"/>
    <w:rsid w:val="00DE7931"/>
    <w:rsid w:val="00DF035B"/>
    <w:rsid w:val="00DF0529"/>
    <w:rsid w:val="00DF0FF0"/>
    <w:rsid w:val="00DF1EEA"/>
    <w:rsid w:val="00DF441C"/>
    <w:rsid w:val="00DF47FC"/>
    <w:rsid w:val="00DF51BA"/>
    <w:rsid w:val="00E00997"/>
    <w:rsid w:val="00E01A32"/>
    <w:rsid w:val="00E01F70"/>
    <w:rsid w:val="00E0289A"/>
    <w:rsid w:val="00E0433B"/>
    <w:rsid w:val="00E04643"/>
    <w:rsid w:val="00E047E5"/>
    <w:rsid w:val="00E05CD5"/>
    <w:rsid w:val="00E0688B"/>
    <w:rsid w:val="00E06933"/>
    <w:rsid w:val="00E07F09"/>
    <w:rsid w:val="00E1204C"/>
    <w:rsid w:val="00E125AD"/>
    <w:rsid w:val="00E1435D"/>
    <w:rsid w:val="00E14D87"/>
    <w:rsid w:val="00E14FA2"/>
    <w:rsid w:val="00E15451"/>
    <w:rsid w:val="00E16739"/>
    <w:rsid w:val="00E17F98"/>
    <w:rsid w:val="00E21314"/>
    <w:rsid w:val="00E21E1B"/>
    <w:rsid w:val="00E23CD1"/>
    <w:rsid w:val="00E23FAA"/>
    <w:rsid w:val="00E2470E"/>
    <w:rsid w:val="00E25477"/>
    <w:rsid w:val="00E2584F"/>
    <w:rsid w:val="00E25B30"/>
    <w:rsid w:val="00E262CC"/>
    <w:rsid w:val="00E263EB"/>
    <w:rsid w:val="00E2662A"/>
    <w:rsid w:val="00E275D2"/>
    <w:rsid w:val="00E27C37"/>
    <w:rsid w:val="00E341F6"/>
    <w:rsid w:val="00E35944"/>
    <w:rsid w:val="00E35EF2"/>
    <w:rsid w:val="00E360DB"/>
    <w:rsid w:val="00E37245"/>
    <w:rsid w:val="00E37F63"/>
    <w:rsid w:val="00E418F8"/>
    <w:rsid w:val="00E41A5C"/>
    <w:rsid w:val="00E43CA2"/>
    <w:rsid w:val="00E45F7B"/>
    <w:rsid w:val="00E4655C"/>
    <w:rsid w:val="00E51DE6"/>
    <w:rsid w:val="00E52378"/>
    <w:rsid w:val="00E527D4"/>
    <w:rsid w:val="00E52FEF"/>
    <w:rsid w:val="00E5300C"/>
    <w:rsid w:val="00E54F6C"/>
    <w:rsid w:val="00E56E75"/>
    <w:rsid w:val="00E5708D"/>
    <w:rsid w:val="00E60A0B"/>
    <w:rsid w:val="00E61DD7"/>
    <w:rsid w:val="00E62BF2"/>
    <w:rsid w:val="00E62F61"/>
    <w:rsid w:val="00E65DA9"/>
    <w:rsid w:val="00E661F5"/>
    <w:rsid w:val="00E6698D"/>
    <w:rsid w:val="00E6724F"/>
    <w:rsid w:val="00E70F9A"/>
    <w:rsid w:val="00E72EFA"/>
    <w:rsid w:val="00E73462"/>
    <w:rsid w:val="00E73604"/>
    <w:rsid w:val="00E744D7"/>
    <w:rsid w:val="00E76AB2"/>
    <w:rsid w:val="00E77FA1"/>
    <w:rsid w:val="00E82089"/>
    <w:rsid w:val="00E82853"/>
    <w:rsid w:val="00E83091"/>
    <w:rsid w:val="00E8400A"/>
    <w:rsid w:val="00E8418C"/>
    <w:rsid w:val="00E865EC"/>
    <w:rsid w:val="00E86E5F"/>
    <w:rsid w:val="00E87515"/>
    <w:rsid w:val="00E91986"/>
    <w:rsid w:val="00E9269D"/>
    <w:rsid w:val="00E9403D"/>
    <w:rsid w:val="00E94F41"/>
    <w:rsid w:val="00EA0EB6"/>
    <w:rsid w:val="00EA47F6"/>
    <w:rsid w:val="00EA55A0"/>
    <w:rsid w:val="00EA5B7C"/>
    <w:rsid w:val="00EA6086"/>
    <w:rsid w:val="00EB2AD3"/>
    <w:rsid w:val="00EB555F"/>
    <w:rsid w:val="00EB78FA"/>
    <w:rsid w:val="00EC1D69"/>
    <w:rsid w:val="00EC3B18"/>
    <w:rsid w:val="00EC52EF"/>
    <w:rsid w:val="00EC58D9"/>
    <w:rsid w:val="00EC5EDC"/>
    <w:rsid w:val="00EC60E1"/>
    <w:rsid w:val="00ED026C"/>
    <w:rsid w:val="00ED05F1"/>
    <w:rsid w:val="00ED0B7D"/>
    <w:rsid w:val="00ED1D51"/>
    <w:rsid w:val="00ED25F5"/>
    <w:rsid w:val="00ED5D05"/>
    <w:rsid w:val="00ED7178"/>
    <w:rsid w:val="00EE10DB"/>
    <w:rsid w:val="00EE1F88"/>
    <w:rsid w:val="00EE205B"/>
    <w:rsid w:val="00EE23FB"/>
    <w:rsid w:val="00EE347D"/>
    <w:rsid w:val="00EE5349"/>
    <w:rsid w:val="00EE5B90"/>
    <w:rsid w:val="00EE6FC9"/>
    <w:rsid w:val="00EF0588"/>
    <w:rsid w:val="00EF082E"/>
    <w:rsid w:val="00EF2257"/>
    <w:rsid w:val="00EF2760"/>
    <w:rsid w:val="00EF4215"/>
    <w:rsid w:val="00EF4E1C"/>
    <w:rsid w:val="00EF5166"/>
    <w:rsid w:val="00F0207B"/>
    <w:rsid w:val="00F048D0"/>
    <w:rsid w:val="00F07F0B"/>
    <w:rsid w:val="00F10B95"/>
    <w:rsid w:val="00F10D2B"/>
    <w:rsid w:val="00F110CB"/>
    <w:rsid w:val="00F11563"/>
    <w:rsid w:val="00F11820"/>
    <w:rsid w:val="00F11B21"/>
    <w:rsid w:val="00F12072"/>
    <w:rsid w:val="00F12161"/>
    <w:rsid w:val="00F12393"/>
    <w:rsid w:val="00F13E4E"/>
    <w:rsid w:val="00F1480D"/>
    <w:rsid w:val="00F15386"/>
    <w:rsid w:val="00F156A0"/>
    <w:rsid w:val="00F176E3"/>
    <w:rsid w:val="00F17E86"/>
    <w:rsid w:val="00F200DE"/>
    <w:rsid w:val="00F2286F"/>
    <w:rsid w:val="00F23713"/>
    <w:rsid w:val="00F2527A"/>
    <w:rsid w:val="00F25480"/>
    <w:rsid w:val="00F30BB5"/>
    <w:rsid w:val="00F30C4D"/>
    <w:rsid w:val="00F33880"/>
    <w:rsid w:val="00F34984"/>
    <w:rsid w:val="00F362C6"/>
    <w:rsid w:val="00F3648E"/>
    <w:rsid w:val="00F41731"/>
    <w:rsid w:val="00F46861"/>
    <w:rsid w:val="00F472A4"/>
    <w:rsid w:val="00F51E1D"/>
    <w:rsid w:val="00F52254"/>
    <w:rsid w:val="00F5331D"/>
    <w:rsid w:val="00F54B57"/>
    <w:rsid w:val="00F56236"/>
    <w:rsid w:val="00F563AC"/>
    <w:rsid w:val="00F577D5"/>
    <w:rsid w:val="00F6015C"/>
    <w:rsid w:val="00F60A26"/>
    <w:rsid w:val="00F631DE"/>
    <w:rsid w:val="00F65F02"/>
    <w:rsid w:val="00F673A6"/>
    <w:rsid w:val="00F67605"/>
    <w:rsid w:val="00F807C4"/>
    <w:rsid w:val="00F82FCF"/>
    <w:rsid w:val="00F85DCB"/>
    <w:rsid w:val="00F864A9"/>
    <w:rsid w:val="00F919FA"/>
    <w:rsid w:val="00F93368"/>
    <w:rsid w:val="00F9508E"/>
    <w:rsid w:val="00F95106"/>
    <w:rsid w:val="00F97103"/>
    <w:rsid w:val="00F97411"/>
    <w:rsid w:val="00F97BEB"/>
    <w:rsid w:val="00FA0593"/>
    <w:rsid w:val="00FA1213"/>
    <w:rsid w:val="00FA13D2"/>
    <w:rsid w:val="00FA2A29"/>
    <w:rsid w:val="00FA3817"/>
    <w:rsid w:val="00FA4637"/>
    <w:rsid w:val="00FA64D3"/>
    <w:rsid w:val="00FB148F"/>
    <w:rsid w:val="00FB2AFD"/>
    <w:rsid w:val="00FB3B24"/>
    <w:rsid w:val="00FB631E"/>
    <w:rsid w:val="00FC089B"/>
    <w:rsid w:val="00FC287D"/>
    <w:rsid w:val="00FC37A8"/>
    <w:rsid w:val="00FC4188"/>
    <w:rsid w:val="00FC4543"/>
    <w:rsid w:val="00FC4ABE"/>
    <w:rsid w:val="00FC4F2F"/>
    <w:rsid w:val="00FC5705"/>
    <w:rsid w:val="00FC6674"/>
    <w:rsid w:val="00FC6941"/>
    <w:rsid w:val="00FC6C91"/>
    <w:rsid w:val="00FC7811"/>
    <w:rsid w:val="00FD024A"/>
    <w:rsid w:val="00FD09F9"/>
    <w:rsid w:val="00FD3EF4"/>
    <w:rsid w:val="00FD4856"/>
    <w:rsid w:val="00FE1547"/>
    <w:rsid w:val="00FE165B"/>
    <w:rsid w:val="00FE210E"/>
    <w:rsid w:val="00FE23B0"/>
    <w:rsid w:val="00FE245F"/>
    <w:rsid w:val="00FE46F7"/>
    <w:rsid w:val="00FE4889"/>
    <w:rsid w:val="00FF1CF4"/>
    <w:rsid w:val="00FF2340"/>
    <w:rsid w:val="00FF333E"/>
    <w:rsid w:val="00FF4860"/>
    <w:rsid w:val="00FF6B1D"/>
    <w:rsid w:val="00FF7C7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strokecolor="none [671]">
      <v:fill color="white"/>
      <v:stroke color="none [671]"/>
    </o:shapedefaults>
    <o:shapelayout v:ext="edit">
      <o:idmap v:ext="edit" data="1"/>
    </o:shapelayout>
  </w:shapeDefaults>
  <w:decimalSymbol w:val="."/>
  <w:listSeparator w:val=","/>
  <w14:docId w14:val="39D02069"/>
  <w15:chartTrackingRefBased/>
  <w15:docId w15:val="{E172A087-A20D-4103-B1FF-F02D89B0F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4FD5"/>
    <w:pPr>
      <w:tabs>
        <w:tab w:val="left" w:pos="567"/>
        <w:tab w:val="left" w:pos="1134"/>
        <w:tab w:val="left" w:pos="1701"/>
        <w:tab w:val="left" w:pos="2268"/>
      </w:tabs>
      <w:spacing w:after="120"/>
      <w:jc w:val="both"/>
    </w:pPr>
    <w:rPr>
      <w:rFonts w:ascii="Calibri" w:hAnsi="Calibri"/>
      <w:sz w:val="22"/>
      <w:lang w:val="en-GB" w:eastAsia="en-GB"/>
    </w:rPr>
  </w:style>
  <w:style w:type="paragraph" w:styleId="Heading1">
    <w:name w:val="heading 1"/>
    <w:basedOn w:val="Normal"/>
    <w:next w:val="Normal"/>
    <w:qFormat/>
    <w:rsid w:val="001C5814"/>
    <w:pPr>
      <w:keepNext/>
      <w:tabs>
        <w:tab w:val="clear" w:pos="567"/>
        <w:tab w:val="clear" w:pos="1134"/>
        <w:tab w:val="clear" w:pos="1701"/>
        <w:tab w:val="clear" w:pos="2268"/>
      </w:tabs>
      <w:spacing w:before="240" w:line="276" w:lineRule="auto"/>
      <w:outlineLvl w:val="0"/>
    </w:pPr>
    <w:rPr>
      <w:kern w:val="32"/>
      <w:sz w:val="40"/>
    </w:rPr>
  </w:style>
  <w:style w:type="paragraph" w:styleId="Heading2">
    <w:name w:val="heading 2"/>
    <w:basedOn w:val="Normal"/>
    <w:next w:val="Normal"/>
    <w:link w:val="Heading2Char"/>
    <w:qFormat/>
    <w:rsid w:val="001C5814"/>
    <w:pPr>
      <w:keepNext/>
      <w:tabs>
        <w:tab w:val="clear" w:pos="567"/>
        <w:tab w:val="clear" w:pos="1134"/>
        <w:tab w:val="clear" w:pos="1701"/>
        <w:tab w:val="clear" w:pos="2268"/>
      </w:tabs>
      <w:spacing w:before="240" w:line="276" w:lineRule="auto"/>
      <w:outlineLvl w:val="1"/>
    </w:pPr>
    <w:rPr>
      <w:sz w:val="28"/>
    </w:rPr>
  </w:style>
  <w:style w:type="paragraph" w:styleId="Heading3">
    <w:name w:val="heading 3"/>
    <w:basedOn w:val="Heading2"/>
    <w:next w:val="Normal"/>
    <w:qFormat/>
    <w:pPr>
      <w:outlineLvl w:val="2"/>
    </w:pPr>
    <w:rPr>
      <w:i/>
      <w:sz w:val="24"/>
    </w:rPr>
  </w:style>
  <w:style w:type="paragraph" w:styleId="Heading4">
    <w:name w:val="heading 4"/>
    <w:basedOn w:val="Normal"/>
    <w:next w:val="Normal"/>
    <w:qFormat/>
    <w:pPr>
      <w:keepNext/>
      <w:outlineLvl w:val="3"/>
    </w:pPr>
    <w:rPr>
      <w:i/>
    </w:rPr>
  </w:style>
  <w:style w:type="paragraph" w:styleId="Heading5">
    <w:name w:val="heading 5"/>
    <w:basedOn w:val="Normal"/>
    <w:next w:val="Normal"/>
    <w:qFormat/>
    <w:pPr>
      <w:keepNext/>
      <w:outlineLvl w:val="4"/>
    </w:pPr>
    <w:rPr>
      <w:b/>
    </w:rPr>
  </w:style>
  <w:style w:type="paragraph" w:styleId="Heading6">
    <w:name w:val="heading 6"/>
    <w:basedOn w:val="Normal"/>
    <w:next w:val="Normal"/>
    <w:qFormat/>
    <w:pPr>
      <w:spacing w:after="60"/>
      <w:jc w:val="center"/>
      <w:outlineLvl w:val="5"/>
    </w:pPr>
    <w:rPr>
      <w:rFonts w:ascii="Times New Roman Bold" w:hAnsi="Times New Roman Bold"/>
      <w:b/>
      <w:sz w:val="28"/>
    </w:rPr>
  </w:style>
  <w:style w:type="paragraph" w:styleId="Heading7">
    <w:name w:val="heading 7"/>
    <w:basedOn w:val="Normal"/>
    <w:next w:val="Normal"/>
    <w:qFormat/>
    <w:pPr>
      <w:keepNext/>
      <w:ind w:left="547"/>
      <w:outlineLvl w:val="6"/>
    </w:pPr>
    <w:rPr>
      <w:u w:val="single"/>
    </w:rPr>
  </w:style>
  <w:style w:type="paragraph" w:styleId="Heading8">
    <w:name w:val="heading 8"/>
    <w:basedOn w:val="Normal"/>
    <w:next w:val="Normal"/>
    <w:qFormat/>
    <w:pPr>
      <w:keepNext/>
      <w:spacing w:before="360" w:after="360"/>
      <w:jc w:val="center"/>
      <w:outlineLvl w:val="7"/>
    </w:pPr>
    <w:rPr>
      <w:b/>
      <w:sz w:val="28"/>
    </w:rPr>
  </w:style>
  <w:style w:type="paragraph" w:styleId="Heading9">
    <w:name w:val="heading 9"/>
    <w:basedOn w:val="Normal"/>
    <w:next w:val="Normal"/>
    <w:qFormat/>
    <w:pPr>
      <w:keepNext/>
      <w:ind w:left="1134" w:hanging="567"/>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pPr>
  </w:style>
  <w:style w:type="paragraph" w:styleId="Footer">
    <w:name w:val="footer"/>
    <w:aliases w:val="Footer1"/>
    <w:basedOn w:val="Normal"/>
    <w:link w:val="FooterChar"/>
    <w:uiPriority w:val="99"/>
    <w:pPr>
      <w:tabs>
        <w:tab w:val="left" w:pos="2552"/>
        <w:tab w:val="center" w:pos="3969"/>
        <w:tab w:val="center" w:pos="4536"/>
        <w:tab w:val="center" w:pos="5103"/>
        <w:tab w:val="left" w:pos="5670"/>
        <w:tab w:val="left" w:pos="6237"/>
        <w:tab w:val="left" w:pos="6804"/>
        <w:tab w:val="left" w:pos="7371"/>
        <w:tab w:val="left" w:pos="7938"/>
      </w:tabs>
      <w:spacing w:after="0"/>
    </w:pPr>
    <w:rPr>
      <w:sz w:val="20"/>
    </w:rPr>
  </w:style>
  <w:style w:type="character" w:customStyle="1" w:styleId="FootnoteReference1">
    <w:name w:val="Footnote Reference1"/>
    <w:rPr>
      <w:rFonts w:ascii="Times New Roman" w:hAnsi="Times New Roman"/>
      <w:dstrike w:val="0"/>
      <w:vertAlign w:val="superscript"/>
    </w:rPr>
  </w:style>
  <w:style w:type="paragraph" w:styleId="FootnoteText">
    <w:name w:val="footnote text"/>
    <w:basedOn w:val="Normal"/>
    <w:link w:val="FootnoteTextChar"/>
    <w:uiPriority w:val="99"/>
    <w:semiHidden/>
    <w:pPr>
      <w:ind w:left="567" w:hanging="567"/>
    </w:pPr>
    <w:rPr>
      <w:sz w:val="20"/>
    </w:rPr>
  </w:style>
  <w:style w:type="paragraph" w:customStyle="1" w:styleId="FootnoteText1">
    <w:name w:val="Footnote Text1"/>
    <w:basedOn w:val="Normal"/>
    <w:pPr>
      <w:ind w:left="567" w:hanging="567"/>
    </w:pPr>
    <w:rPr>
      <w:sz w:val="18"/>
      <w:szCs w:val="18"/>
    </w:rPr>
  </w:style>
  <w:style w:type="paragraph" w:styleId="Header">
    <w:name w:val="header"/>
    <w:basedOn w:val="Normal"/>
    <w:pPr>
      <w:tabs>
        <w:tab w:val="center" w:pos="4153"/>
        <w:tab w:val="right" w:pos="8306"/>
      </w:tabs>
    </w:pPr>
  </w:style>
  <w:style w:type="paragraph" w:customStyle="1" w:styleId="Indenta">
    <w:name w:val="Indent a"/>
    <w:basedOn w:val="Normal"/>
    <w:pPr>
      <w:ind w:left="1134" w:hanging="567"/>
    </w:pPr>
  </w:style>
  <w:style w:type="paragraph" w:customStyle="1" w:styleId="Indenti">
    <w:name w:val="Indent i"/>
    <w:basedOn w:val="Normal"/>
    <w:pPr>
      <w:ind w:left="1701" w:hanging="567"/>
    </w:pPr>
  </w:style>
  <w:style w:type="paragraph" w:customStyle="1" w:styleId="Indentnono">
    <w:name w:val="Indent no no"/>
    <w:basedOn w:val="Normal"/>
    <w:pPr>
      <w:ind w:left="567"/>
    </w:pPr>
  </w:style>
  <w:style w:type="paragraph" w:customStyle="1" w:styleId="Indentnonodouble">
    <w:name w:val="Indent no no (double)"/>
    <w:basedOn w:val="Indentnono"/>
    <w:pPr>
      <w:ind w:left="1134"/>
    </w:pPr>
  </w:style>
  <w:style w:type="character" w:styleId="PageNumber">
    <w:name w:val="page number"/>
    <w:basedOn w:val="DefaultParagraphFont"/>
  </w:style>
  <w:style w:type="character" w:styleId="FootnoteReference">
    <w:name w:val="footnote reference"/>
    <w:aliases w:val="stylish"/>
    <w:uiPriority w:val="99"/>
    <w:semiHidden/>
    <w:rsid w:val="00AE51C5"/>
    <w:rPr>
      <w:vertAlign w:val="superscript"/>
    </w:rPr>
  </w:style>
  <w:style w:type="paragraph" w:styleId="BalloonText">
    <w:name w:val="Balloon Text"/>
    <w:basedOn w:val="Normal"/>
    <w:semiHidden/>
    <w:rsid w:val="00A338D3"/>
    <w:rPr>
      <w:rFonts w:ascii="Tahoma" w:hAnsi="Tahoma" w:cs="Tahoma"/>
      <w:sz w:val="16"/>
      <w:szCs w:val="16"/>
    </w:rPr>
  </w:style>
  <w:style w:type="paragraph" w:styleId="DocumentMap">
    <w:name w:val="Document Map"/>
    <w:basedOn w:val="Normal"/>
    <w:semiHidden/>
    <w:rsid w:val="00D80804"/>
    <w:pPr>
      <w:shd w:val="clear" w:color="auto" w:fill="000080"/>
    </w:pPr>
    <w:rPr>
      <w:rFonts w:ascii="Tahoma" w:hAnsi="Tahoma" w:cs="Tahoma"/>
      <w:sz w:val="20"/>
    </w:rPr>
  </w:style>
  <w:style w:type="paragraph" w:customStyle="1" w:styleId="CharChar">
    <w:name w:val="Char Char"/>
    <w:basedOn w:val="Normal"/>
    <w:rsid w:val="009C457B"/>
    <w:pPr>
      <w:tabs>
        <w:tab w:val="clear" w:pos="567"/>
        <w:tab w:val="clear" w:pos="1134"/>
        <w:tab w:val="clear" w:pos="1701"/>
        <w:tab w:val="clear" w:pos="2268"/>
      </w:tabs>
      <w:spacing w:after="160" w:line="240" w:lineRule="exact"/>
    </w:pPr>
    <w:rPr>
      <w:rFonts w:ascii="Tahoma" w:hAnsi="Tahoma"/>
      <w:sz w:val="20"/>
      <w:lang w:val="en-US" w:eastAsia="en-US"/>
    </w:rPr>
  </w:style>
  <w:style w:type="paragraph" w:customStyle="1" w:styleId="CarCar">
    <w:name w:val="Car Car"/>
    <w:basedOn w:val="Normal"/>
    <w:rsid w:val="00B91AED"/>
    <w:pPr>
      <w:tabs>
        <w:tab w:val="clear" w:pos="567"/>
        <w:tab w:val="clear" w:pos="1134"/>
        <w:tab w:val="clear" w:pos="1701"/>
        <w:tab w:val="clear" w:pos="2268"/>
      </w:tabs>
      <w:spacing w:after="160" w:line="240" w:lineRule="exact"/>
    </w:pPr>
    <w:rPr>
      <w:rFonts w:ascii="Tahoma" w:hAnsi="Tahoma"/>
      <w:sz w:val="20"/>
      <w:lang w:val="en-US" w:eastAsia="en-US"/>
    </w:rPr>
  </w:style>
  <w:style w:type="paragraph" w:customStyle="1" w:styleId="ZchnZchn1CharCharCarCar">
    <w:name w:val="Zchn Zchn1 Char Char Car Car"/>
    <w:basedOn w:val="Normal"/>
    <w:rsid w:val="00E77FA1"/>
    <w:pPr>
      <w:tabs>
        <w:tab w:val="clear" w:pos="567"/>
        <w:tab w:val="clear" w:pos="1134"/>
        <w:tab w:val="clear" w:pos="1701"/>
        <w:tab w:val="clear" w:pos="2268"/>
      </w:tabs>
      <w:spacing w:after="160" w:line="240" w:lineRule="exact"/>
    </w:pPr>
    <w:rPr>
      <w:rFonts w:ascii="Tahoma" w:hAnsi="Tahoma"/>
      <w:sz w:val="20"/>
      <w:lang w:val="en-US" w:eastAsia="en-US"/>
    </w:rPr>
  </w:style>
  <w:style w:type="paragraph" w:customStyle="1" w:styleId="CarCar1">
    <w:name w:val="Car Car1"/>
    <w:basedOn w:val="Normal"/>
    <w:rsid w:val="00FE23B0"/>
    <w:pPr>
      <w:tabs>
        <w:tab w:val="clear" w:pos="567"/>
        <w:tab w:val="clear" w:pos="1134"/>
        <w:tab w:val="clear" w:pos="1701"/>
        <w:tab w:val="clear" w:pos="2268"/>
      </w:tabs>
      <w:spacing w:after="160" w:line="240" w:lineRule="exact"/>
    </w:pPr>
    <w:rPr>
      <w:rFonts w:ascii="Tahoma" w:hAnsi="Tahoma"/>
      <w:sz w:val="20"/>
      <w:lang w:val="en-US" w:eastAsia="en-US"/>
    </w:rPr>
  </w:style>
  <w:style w:type="paragraph" w:styleId="BodyText">
    <w:name w:val="Body Text"/>
    <w:basedOn w:val="Normal"/>
    <w:link w:val="BodyTextChar"/>
    <w:rsid w:val="00FE23B0"/>
    <w:pPr>
      <w:numPr>
        <w:numId w:val="1"/>
      </w:numPr>
      <w:tabs>
        <w:tab w:val="clear" w:pos="567"/>
        <w:tab w:val="clear" w:pos="1134"/>
        <w:tab w:val="clear" w:pos="2268"/>
      </w:tabs>
      <w:spacing w:after="140" w:line="280" w:lineRule="atLeast"/>
    </w:pPr>
    <w:rPr>
      <w:rFonts w:ascii="Arial" w:hAnsi="Arial"/>
      <w:sz w:val="20"/>
    </w:rPr>
  </w:style>
  <w:style w:type="paragraph" w:styleId="Title">
    <w:name w:val="Title"/>
    <w:link w:val="TitleChar"/>
    <w:qFormat/>
    <w:rsid w:val="00FE23B0"/>
    <w:pPr>
      <w:spacing w:line="280" w:lineRule="atLeast"/>
      <w:outlineLvl w:val="0"/>
    </w:pPr>
    <w:rPr>
      <w:rFonts w:ascii="Arial" w:hAnsi="Arial"/>
      <w:noProof/>
      <w:kern w:val="28"/>
      <w:sz w:val="24"/>
      <w:lang w:val="en-GB" w:eastAsia="en-GB"/>
    </w:rPr>
  </w:style>
  <w:style w:type="paragraph" w:styleId="BodyText2">
    <w:name w:val="Body Text 2"/>
    <w:basedOn w:val="Normal"/>
    <w:rsid w:val="00C14504"/>
    <w:pPr>
      <w:tabs>
        <w:tab w:val="clear" w:pos="567"/>
        <w:tab w:val="clear" w:pos="1134"/>
        <w:tab w:val="clear" w:pos="1701"/>
        <w:tab w:val="clear" w:pos="2268"/>
        <w:tab w:val="left" w:pos="1418"/>
      </w:tabs>
      <w:spacing w:line="480" w:lineRule="auto"/>
    </w:pPr>
    <w:rPr>
      <w:rFonts w:ascii="Arial" w:hAnsi="Arial"/>
      <w:sz w:val="20"/>
    </w:rPr>
  </w:style>
  <w:style w:type="character" w:styleId="CommentReference">
    <w:name w:val="annotation reference"/>
    <w:semiHidden/>
    <w:rsid w:val="00973229"/>
    <w:rPr>
      <w:sz w:val="16"/>
      <w:szCs w:val="16"/>
    </w:rPr>
  </w:style>
  <w:style w:type="paragraph" w:styleId="CommentText">
    <w:name w:val="annotation text"/>
    <w:basedOn w:val="Normal"/>
    <w:link w:val="CommentTextChar"/>
    <w:semiHidden/>
    <w:rsid w:val="00973229"/>
    <w:rPr>
      <w:sz w:val="20"/>
    </w:rPr>
  </w:style>
  <w:style w:type="paragraph" w:styleId="CommentSubject">
    <w:name w:val="annotation subject"/>
    <w:basedOn w:val="CommentText"/>
    <w:next w:val="CommentText"/>
    <w:semiHidden/>
    <w:rsid w:val="00973229"/>
    <w:rPr>
      <w:b/>
      <w:bCs/>
    </w:rPr>
  </w:style>
  <w:style w:type="character" w:styleId="Hyperlink">
    <w:name w:val="Hyperlink"/>
    <w:rsid w:val="00FC4543"/>
    <w:rPr>
      <w:color w:val="0000FF"/>
      <w:u w:val="single"/>
    </w:rPr>
  </w:style>
  <w:style w:type="character" w:styleId="FollowedHyperlink">
    <w:name w:val="FollowedHyperlink"/>
    <w:rsid w:val="008C503B"/>
    <w:rPr>
      <w:color w:val="800080"/>
      <w:u w:val="single"/>
    </w:rPr>
  </w:style>
  <w:style w:type="paragraph" w:customStyle="1" w:styleId="MediumGrid3-Accent51">
    <w:name w:val="Medium Grid 3 - Accent 51"/>
    <w:hidden/>
    <w:uiPriority w:val="99"/>
    <w:semiHidden/>
    <w:rsid w:val="009242AB"/>
    <w:rPr>
      <w:sz w:val="22"/>
      <w:lang w:val="en-GB" w:eastAsia="en-GB"/>
    </w:rPr>
  </w:style>
  <w:style w:type="paragraph" w:styleId="NormalWeb">
    <w:name w:val="Normal (Web)"/>
    <w:basedOn w:val="Normal"/>
    <w:rsid w:val="002A2954"/>
    <w:pPr>
      <w:tabs>
        <w:tab w:val="clear" w:pos="567"/>
        <w:tab w:val="clear" w:pos="1134"/>
        <w:tab w:val="clear" w:pos="1701"/>
        <w:tab w:val="clear" w:pos="2268"/>
      </w:tabs>
      <w:spacing w:before="100" w:beforeAutospacing="1" w:after="100" w:afterAutospacing="1"/>
    </w:pPr>
    <w:rPr>
      <w:sz w:val="24"/>
      <w:szCs w:val="24"/>
    </w:rPr>
  </w:style>
  <w:style w:type="character" w:customStyle="1" w:styleId="A2">
    <w:name w:val="A2"/>
    <w:uiPriority w:val="99"/>
    <w:rsid w:val="005152BD"/>
    <w:rPr>
      <w:b/>
      <w:bCs/>
      <w:color w:val="000000"/>
      <w:sz w:val="20"/>
      <w:szCs w:val="20"/>
    </w:rPr>
  </w:style>
  <w:style w:type="table" w:styleId="TableGrid">
    <w:name w:val="Table Grid"/>
    <w:basedOn w:val="TableNormal"/>
    <w:uiPriority w:val="59"/>
    <w:rsid w:val="00E92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chnZchn2">
    <w:name w:val="Zchn Zchn2"/>
    <w:basedOn w:val="Normal"/>
    <w:rsid w:val="00BA2523"/>
    <w:pPr>
      <w:tabs>
        <w:tab w:val="clear" w:pos="567"/>
        <w:tab w:val="clear" w:pos="1134"/>
        <w:tab w:val="clear" w:pos="1701"/>
        <w:tab w:val="clear" w:pos="2268"/>
      </w:tabs>
      <w:spacing w:after="160" w:line="240" w:lineRule="exact"/>
    </w:pPr>
    <w:rPr>
      <w:rFonts w:ascii="Tahoma" w:hAnsi="Tahoma"/>
      <w:sz w:val="20"/>
      <w:lang w:val="en-US" w:eastAsia="en-US"/>
    </w:rPr>
  </w:style>
  <w:style w:type="paragraph" w:customStyle="1" w:styleId="Default">
    <w:name w:val="Default"/>
    <w:rsid w:val="00D056CF"/>
    <w:pPr>
      <w:autoSpaceDE w:val="0"/>
      <w:autoSpaceDN w:val="0"/>
      <w:adjustRightInd w:val="0"/>
    </w:pPr>
    <w:rPr>
      <w:rFonts w:ascii="Microsoft PhagsPa" w:hAnsi="Microsoft PhagsPa" w:cs="Microsoft PhagsPa"/>
      <w:color w:val="000000"/>
      <w:sz w:val="24"/>
      <w:szCs w:val="24"/>
      <w:lang w:val="en-GB" w:eastAsia="en-GB"/>
    </w:rPr>
  </w:style>
  <w:style w:type="paragraph" w:customStyle="1" w:styleId="Pa1">
    <w:name w:val="Pa1"/>
    <w:basedOn w:val="Default"/>
    <w:next w:val="Default"/>
    <w:uiPriority w:val="99"/>
    <w:rsid w:val="00D056CF"/>
    <w:pPr>
      <w:spacing w:line="241" w:lineRule="atLeast"/>
    </w:pPr>
    <w:rPr>
      <w:rFonts w:cs="Times New Roman"/>
      <w:color w:val="auto"/>
    </w:rPr>
  </w:style>
  <w:style w:type="character" w:customStyle="1" w:styleId="A3">
    <w:name w:val="A3"/>
    <w:uiPriority w:val="99"/>
    <w:rsid w:val="00D056CF"/>
    <w:rPr>
      <w:rFonts w:cs="Microsoft PhagsPa"/>
      <w:color w:val="000000"/>
      <w:sz w:val="48"/>
      <w:szCs w:val="48"/>
    </w:rPr>
  </w:style>
  <w:style w:type="paragraph" w:customStyle="1" w:styleId="Char">
    <w:name w:val="Char"/>
    <w:basedOn w:val="Normal"/>
    <w:rsid w:val="00583051"/>
    <w:pPr>
      <w:tabs>
        <w:tab w:val="clear" w:pos="567"/>
        <w:tab w:val="clear" w:pos="1134"/>
        <w:tab w:val="clear" w:pos="1701"/>
        <w:tab w:val="clear" w:pos="2268"/>
      </w:tabs>
      <w:spacing w:after="160" w:line="240" w:lineRule="exact"/>
    </w:pPr>
    <w:rPr>
      <w:rFonts w:ascii="Tahoma" w:hAnsi="Tahoma"/>
      <w:sz w:val="20"/>
      <w:lang w:val="en-US" w:eastAsia="en-US"/>
    </w:rPr>
  </w:style>
  <w:style w:type="character" w:customStyle="1" w:styleId="Heading2Char">
    <w:name w:val="Heading 2 Char"/>
    <w:link w:val="Heading2"/>
    <w:rsid w:val="001C5814"/>
    <w:rPr>
      <w:rFonts w:ascii="Calibri" w:hAnsi="Calibri"/>
      <w:sz w:val="28"/>
    </w:rPr>
  </w:style>
  <w:style w:type="character" w:customStyle="1" w:styleId="BodyTextChar">
    <w:name w:val="Body Text Char"/>
    <w:link w:val="BodyText"/>
    <w:rsid w:val="000176BC"/>
    <w:rPr>
      <w:rFonts w:ascii="Arial" w:hAnsi="Arial"/>
      <w:lang w:val="en-GB" w:eastAsia="en-GB"/>
    </w:rPr>
  </w:style>
  <w:style w:type="character" w:customStyle="1" w:styleId="TitleChar">
    <w:name w:val="Title Char"/>
    <w:link w:val="Title"/>
    <w:rsid w:val="00F631DE"/>
    <w:rPr>
      <w:rFonts w:ascii="Arial" w:hAnsi="Arial"/>
      <w:noProof/>
      <w:kern w:val="28"/>
      <w:sz w:val="24"/>
    </w:rPr>
  </w:style>
  <w:style w:type="character" w:customStyle="1" w:styleId="FooterChar">
    <w:name w:val="Footer Char"/>
    <w:aliases w:val="Footer1 Char"/>
    <w:link w:val="Footer"/>
    <w:uiPriority w:val="99"/>
    <w:rsid w:val="00217183"/>
    <w:rPr>
      <w:rFonts w:ascii="Calibri" w:hAnsi="Calibri"/>
    </w:rPr>
  </w:style>
  <w:style w:type="character" w:customStyle="1" w:styleId="apple-converted-space">
    <w:name w:val="apple-converted-space"/>
    <w:rsid w:val="008F0838"/>
  </w:style>
  <w:style w:type="paragraph" w:customStyle="1" w:styleId="Sideheadingsmall">
    <w:name w:val="Side heading (small)"/>
    <w:basedOn w:val="Normal"/>
    <w:next w:val="Normal"/>
    <w:rsid w:val="00DF47FC"/>
    <w:pPr>
      <w:keepNext/>
      <w:spacing w:after="80"/>
      <w:jc w:val="left"/>
    </w:pPr>
    <w:rPr>
      <w:rFonts w:ascii="Times New Roman Bold" w:hAnsi="Times New Roman Bold"/>
      <w:b/>
      <w:bCs/>
      <w:i/>
      <w:iCs/>
      <w:sz w:val="20"/>
      <w:lang w:eastAsia="en-US"/>
    </w:rPr>
  </w:style>
  <w:style w:type="paragraph" w:customStyle="1" w:styleId="Titre21">
    <w:name w:val="Titre 21"/>
    <w:basedOn w:val="Normal"/>
    <w:link w:val="Titre2Car"/>
    <w:qFormat/>
    <w:rsid w:val="00543545"/>
    <w:pPr>
      <w:keepNext/>
      <w:tabs>
        <w:tab w:val="clear" w:pos="1134"/>
        <w:tab w:val="clear" w:pos="1701"/>
        <w:tab w:val="clear" w:pos="2268"/>
      </w:tabs>
      <w:spacing w:before="140" w:after="140" w:line="280" w:lineRule="atLeast"/>
      <w:jc w:val="left"/>
      <w:outlineLvl w:val="1"/>
    </w:pPr>
    <w:rPr>
      <w:rFonts w:ascii="Arial" w:eastAsia="Microsoft YaHei" w:hAnsi="Arial" w:cs="Mangal"/>
      <w:color w:val="00000A"/>
      <w:sz w:val="28"/>
      <w:szCs w:val="28"/>
      <w:lang w:val="en-US" w:eastAsia="en-US"/>
    </w:rPr>
  </w:style>
  <w:style w:type="character" w:customStyle="1" w:styleId="Titre2Car">
    <w:name w:val="Titre 2 Car"/>
    <w:link w:val="Titre21"/>
    <w:qFormat/>
    <w:rsid w:val="00543545"/>
    <w:rPr>
      <w:rFonts w:ascii="Arial" w:eastAsia="Microsoft YaHei" w:hAnsi="Arial" w:cs="Mangal"/>
      <w:color w:val="00000A"/>
      <w:sz w:val="28"/>
      <w:szCs w:val="28"/>
      <w:lang w:val="en-US" w:eastAsia="en-US"/>
    </w:rPr>
  </w:style>
  <w:style w:type="paragraph" w:styleId="ListParagraph">
    <w:name w:val="List Paragraph"/>
    <w:aliases w:val="_Bullet,Heading 2_sj,List Paragraph1,Listenabsatz1,Parágrafo da Lista"/>
    <w:basedOn w:val="Normal"/>
    <w:link w:val="ListParagraphChar"/>
    <w:uiPriority w:val="34"/>
    <w:qFormat/>
    <w:rsid w:val="004208BE"/>
    <w:pPr>
      <w:tabs>
        <w:tab w:val="clear" w:pos="567"/>
        <w:tab w:val="clear" w:pos="1134"/>
        <w:tab w:val="clear" w:pos="1701"/>
        <w:tab w:val="clear" w:pos="2268"/>
      </w:tabs>
      <w:spacing w:after="0"/>
      <w:ind w:left="720"/>
      <w:jc w:val="left"/>
    </w:pPr>
    <w:rPr>
      <w:rFonts w:eastAsia="Calibri" w:cs="Calibri"/>
      <w:szCs w:val="22"/>
      <w:lang w:eastAsia="en-US"/>
    </w:rPr>
  </w:style>
  <w:style w:type="character" w:customStyle="1" w:styleId="FootnoteTextChar">
    <w:name w:val="Footnote Text Char"/>
    <w:basedOn w:val="DefaultParagraphFont"/>
    <w:link w:val="FootnoteText"/>
    <w:uiPriority w:val="99"/>
    <w:semiHidden/>
    <w:rsid w:val="0063202A"/>
    <w:rPr>
      <w:rFonts w:ascii="Calibri" w:hAnsi="Calibri"/>
      <w:lang w:val="en-GB" w:eastAsia="en-GB"/>
    </w:rPr>
  </w:style>
  <w:style w:type="character" w:customStyle="1" w:styleId="ListParagraphChar">
    <w:name w:val="List Paragraph Char"/>
    <w:aliases w:val="_Bullet Char,Heading 2_sj Char,List Paragraph1 Char,Listenabsatz1 Char,Parágrafo da Lista Char"/>
    <w:basedOn w:val="DefaultParagraphFont"/>
    <w:link w:val="ListParagraph"/>
    <w:uiPriority w:val="34"/>
    <w:qFormat/>
    <w:locked/>
    <w:rsid w:val="00C328D1"/>
    <w:rPr>
      <w:rFonts w:ascii="Calibri" w:eastAsia="Calibri" w:hAnsi="Calibri" w:cs="Calibri"/>
      <w:sz w:val="22"/>
      <w:szCs w:val="22"/>
      <w:lang w:val="en-GB" w:eastAsia="en-US"/>
    </w:rPr>
  </w:style>
  <w:style w:type="character" w:customStyle="1" w:styleId="jlqj4b">
    <w:name w:val="jlqj4b"/>
    <w:basedOn w:val="DefaultParagraphFont"/>
    <w:rsid w:val="005C094E"/>
  </w:style>
  <w:style w:type="character" w:customStyle="1" w:styleId="viiyi">
    <w:name w:val="viiyi"/>
    <w:basedOn w:val="DefaultParagraphFont"/>
    <w:rsid w:val="005C094E"/>
  </w:style>
  <w:style w:type="paragraph" w:styleId="NoSpacing">
    <w:name w:val="No Spacing"/>
    <w:uiPriority w:val="1"/>
    <w:qFormat/>
    <w:rsid w:val="003362D6"/>
    <w:pPr>
      <w:jc w:val="both"/>
    </w:pPr>
    <w:rPr>
      <w:rFonts w:asciiTheme="minorHAnsi" w:eastAsiaTheme="minorHAnsi" w:hAnsiTheme="minorHAnsi" w:cstheme="minorBidi"/>
      <w:sz w:val="22"/>
      <w:szCs w:val="22"/>
      <w:lang w:val="en-GB" w:eastAsia="en-US"/>
    </w:rPr>
  </w:style>
  <w:style w:type="paragraph" w:styleId="Revision">
    <w:name w:val="Revision"/>
    <w:hidden/>
    <w:uiPriority w:val="99"/>
    <w:semiHidden/>
    <w:rsid w:val="00D037C5"/>
    <w:rPr>
      <w:rFonts w:ascii="Calibri" w:hAnsi="Calibri"/>
      <w:sz w:val="22"/>
      <w:lang w:val="en-GB" w:eastAsia="en-GB"/>
    </w:rPr>
  </w:style>
  <w:style w:type="character" w:customStyle="1" w:styleId="CommentTextChar">
    <w:name w:val="Comment Text Char"/>
    <w:basedOn w:val="DefaultParagraphFont"/>
    <w:link w:val="CommentText"/>
    <w:semiHidden/>
    <w:rsid w:val="004C42B2"/>
    <w:rPr>
      <w:rFonts w:ascii="Calibri" w:hAnsi="Calibri"/>
      <w:lang w:val="en-GB" w:eastAsia="en-GB"/>
    </w:rPr>
  </w:style>
  <w:style w:type="character" w:styleId="UnresolvedMention">
    <w:name w:val="Unresolved Mention"/>
    <w:basedOn w:val="DefaultParagraphFont"/>
    <w:uiPriority w:val="99"/>
    <w:semiHidden/>
    <w:unhideWhenUsed/>
    <w:rsid w:val="00C60C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6238">
      <w:bodyDiv w:val="1"/>
      <w:marLeft w:val="0"/>
      <w:marRight w:val="0"/>
      <w:marTop w:val="0"/>
      <w:marBottom w:val="0"/>
      <w:divBdr>
        <w:top w:val="none" w:sz="0" w:space="0" w:color="auto"/>
        <w:left w:val="none" w:sz="0" w:space="0" w:color="auto"/>
        <w:bottom w:val="none" w:sz="0" w:space="0" w:color="auto"/>
        <w:right w:val="none" w:sz="0" w:space="0" w:color="auto"/>
      </w:divBdr>
    </w:div>
    <w:div w:id="161051220">
      <w:bodyDiv w:val="1"/>
      <w:marLeft w:val="0"/>
      <w:marRight w:val="0"/>
      <w:marTop w:val="0"/>
      <w:marBottom w:val="0"/>
      <w:divBdr>
        <w:top w:val="none" w:sz="0" w:space="0" w:color="auto"/>
        <w:left w:val="none" w:sz="0" w:space="0" w:color="auto"/>
        <w:bottom w:val="none" w:sz="0" w:space="0" w:color="auto"/>
        <w:right w:val="none" w:sz="0" w:space="0" w:color="auto"/>
      </w:divBdr>
    </w:div>
    <w:div w:id="421686581">
      <w:bodyDiv w:val="1"/>
      <w:marLeft w:val="0"/>
      <w:marRight w:val="0"/>
      <w:marTop w:val="0"/>
      <w:marBottom w:val="0"/>
      <w:divBdr>
        <w:top w:val="none" w:sz="0" w:space="0" w:color="auto"/>
        <w:left w:val="none" w:sz="0" w:space="0" w:color="auto"/>
        <w:bottom w:val="none" w:sz="0" w:space="0" w:color="auto"/>
        <w:right w:val="none" w:sz="0" w:space="0" w:color="auto"/>
      </w:divBdr>
    </w:div>
    <w:div w:id="506750535">
      <w:bodyDiv w:val="1"/>
      <w:marLeft w:val="0"/>
      <w:marRight w:val="0"/>
      <w:marTop w:val="0"/>
      <w:marBottom w:val="0"/>
      <w:divBdr>
        <w:top w:val="none" w:sz="0" w:space="0" w:color="auto"/>
        <w:left w:val="none" w:sz="0" w:space="0" w:color="auto"/>
        <w:bottom w:val="none" w:sz="0" w:space="0" w:color="auto"/>
        <w:right w:val="none" w:sz="0" w:space="0" w:color="auto"/>
      </w:divBdr>
    </w:div>
    <w:div w:id="548608348">
      <w:bodyDiv w:val="1"/>
      <w:marLeft w:val="0"/>
      <w:marRight w:val="0"/>
      <w:marTop w:val="0"/>
      <w:marBottom w:val="0"/>
      <w:divBdr>
        <w:top w:val="none" w:sz="0" w:space="0" w:color="auto"/>
        <w:left w:val="none" w:sz="0" w:space="0" w:color="auto"/>
        <w:bottom w:val="none" w:sz="0" w:space="0" w:color="auto"/>
        <w:right w:val="none" w:sz="0" w:space="0" w:color="auto"/>
      </w:divBdr>
    </w:div>
    <w:div w:id="563028428">
      <w:bodyDiv w:val="1"/>
      <w:marLeft w:val="0"/>
      <w:marRight w:val="0"/>
      <w:marTop w:val="0"/>
      <w:marBottom w:val="0"/>
      <w:divBdr>
        <w:top w:val="none" w:sz="0" w:space="0" w:color="auto"/>
        <w:left w:val="none" w:sz="0" w:space="0" w:color="auto"/>
        <w:bottom w:val="none" w:sz="0" w:space="0" w:color="auto"/>
        <w:right w:val="none" w:sz="0" w:space="0" w:color="auto"/>
      </w:divBdr>
    </w:div>
    <w:div w:id="692416302">
      <w:bodyDiv w:val="1"/>
      <w:marLeft w:val="0"/>
      <w:marRight w:val="0"/>
      <w:marTop w:val="0"/>
      <w:marBottom w:val="0"/>
      <w:divBdr>
        <w:top w:val="none" w:sz="0" w:space="0" w:color="auto"/>
        <w:left w:val="none" w:sz="0" w:space="0" w:color="auto"/>
        <w:bottom w:val="none" w:sz="0" w:space="0" w:color="auto"/>
        <w:right w:val="none" w:sz="0" w:space="0" w:color="auto"/>
      </w:divBdr>
    </w:div>
    <w:div w:id="972059785">
      <w:bodyDiv w:val="1"/>
      <w:marLeft w:val="0"/>
      <w:marRight w:val="0"/>
      <w:marTop w:val="0"/>
      <w:marBottom w:val="0"/>
      <w:divBdr>
        <w:top w:val="none" w:sz="0" w:space="0" w:color="auto"/>
        <w:left w:val="none" w:sz="0" w:space="0" w:color="auto"/>
        <w:bottom w:val="none" w:sz="0" w:space="0" w:color="auto"/>
        <w:right w:val="none" w:sz="0" w:space="0" w:color="auto"/>
      </w:divBdr>
    </w:div>
    <w:div w:id="1005789744">
      <w:bodyDiv w:val="1"/>
      <w:marLeft w:val="0"/>
      <w:marRight w:val="0"/>
      <w:marTop w:val="0"/>
      <w:marBottom w:val="0"/>
      <w:divBdr>
        <w:top w:val="none" w:sz="0" w:space="0" w:color="auto"/>
        <w:left w:val="none" w:sz="0" w:space="0" w:color="auto"/>
        <w:bottom w:val="none" w:sz="0" w:space="0" w:color="auto"/>
        <w:right w:val="none" w:sz="0" w:space="0" w:color="auto"/>
      </w:divBdr>
    </w:div>
    <w:div w:id="1299653556">
      <w:bodyDiv w:val="1"/>
      <w:marLeft w:val="0"/>
      <w:marRight w:val="0"/>
      <w:marTop w:val="0"/>
      <w:marBottom w:val="0"/>
      <w:divBdr>
        <w:top w:val="none" w:sz="0" w:space="0" w:color="auto"/>
        <w:left w:val="none" w:sz="0" w:space="0" w:color="auto"/>
        <w:bottom w:val="none" w:sz="0" w:space="0" w:color="auto"/>
        <w:right w:val="none" w:sz="0" w:space="0" w:color="auto"/>
      </w:divBdr>
    </w:div>
    <w:div w:id="1369916188">
      <w:bodyDiv w:val="1"/>
      <w:marLeft w:val="0"/>
      <w:marRight w:val="0"/>
      <w:marTop w:val="0"/>
      <w:marBottom w:val="0"/>
      <w:divBdr>
        <w:top w:val="none" w:sz="0" w:space="0" w:color="auto"/>
        <w:left w:val="none" w:sz="0" w:space="0" w:color="auto"/>
        <w:bottom w:val="none" w:sz="0" w:space="0" w:color="auto"/>
        <w:right w:val="none" w:sz="0" w:space="0" w:color="auto"/>
      </w:divBdr>
      <w:divsChild>
        <w:div w:id="1111438974">
          <w:marLeft w:val="360"/>
          <w:marRight w:val="0"/>
          <w:marTop w:val="200"/>
          <w:marBottom w:val="0"/>
          <w:divBdr>
            <w:top w:val="none" w:sz="0" w:space="0" w:color="auto"/>
            <w:left w:val="none" w:sz="0" w:space="0" w:color="auto"/>
            <w:bottom w:val="none" w:sz="0" w:space="0" w:color="auto"/>
            <w:right w:val="none" w:sz="0" w:space="0" w:color="auto"/>
          </w:divBdr>
        </w:div>
        <w:div w:id="920480199">
          <w:marLeft w:val="1080"/>
          <w:marRight w:val="0"/>
          <w:marTop w:val="100"/>
          <w:marBottom w:val="0"/>
          <w:divBdr>
            <w:top w:val="none" w:sz="0" w:space="0" w:color="auto"/>
            <w:left w:val="none" w:sz="0" w:space="0" w:color="auto"/>
            <w:bottom w:val="none" w:sz="0" w:space="0" w:color="auto"/>
            <w:right w:val="none" w:sz="0" w:space="0" w:color="auto"/>
          </w:divBdr>
        </w:div>
        <w:div w:id="1496143548">
          <w:marLeft w:val="1080"/>
          <w:marRight w:val="0"/>
          <w:marTop w:val="100"/>
          <w:marBottom w:val="0"/>
          <w:divBdr>
            <w:top w:val="none" w:sz="0" w:space="0" w:color="auto"/>
            <w:left w:val="none" w:sz="0" w:space="0" w:color="auto"/>
            <w:bottom w:val="none" w:sz="0" w:space="0" w:color="auto"/>
            <w:right w:val="none" w:sz="0" w:space="0" w:color="auto"/>
          </w:divBdr>
        </w:div>
        <w:div w:id="919683093">
          <w:marLeft w:val="1080"/>
          <w:marRight w:val="0"/>
          <w:marTop w:val="100"/>
          <w:marBottom w:val="0"/>
          <w:divBdr>
            <w:top w:val="none" w:sz="0" w:space="0" w:color="auto"/>
            <w:left w:val="none" w:sz="0" w:space="0" w:color="auto"/>
            <w:bottom w:val="none" w:sz="0" w:space="0" w:color="auto"/>
            <w:right w:val="none" w:sz="0" w:space="0" w:color="auto"/>
          </w:divBdr>
        </w:div>
        <w:div w:id="76634443">
          <w:marLeft w:val="360"/>
          <w:marRight w:val="0"/>
          <w:marTop w:val="200"/>
          <w:marBottom w:val="0"/>
          <w:divBdr>
            <w:top w:val="none" w:sz="0" w:space="0" w:color="auto"/>
            <w:left w:val="none" w:sz="0" w:space="0" w:color="auto"/>
            <w:bottom w:val="none" w:sz="0" w:space="0" w:color="auto"/>
            <w:right w:val="none" w:sz="0" w:space="0" w:color="auto"/>
          </w:divBdr>
        </w:div>
        <w:div w:id="1429039627">
          <w:marLeft w:val="1080"/>
          <w:marRight w:val="0"/>
          <w:marTop w:val="100"/>
          <w:marBottom w:val="0"/>
          <w:divBdr>
            <w:top w:val="none" w:sz="0" w:space="0" w:color="auto"/>
            <w:left w:val="none" w:sz="0" w:space="0" w:color="auto"/>
            <w:bottom w:val="none" w:sz="0" w:space="0" w:color="auto"/>
            <w:right w:val="none" w:sz="0" w:space="0" w:color="auto"/>
          </w:divBdr>
        </w:div>
      </w:divsChild>
    </w:div>
    <w:div w:id="1630668477">
      <w:bodyDiv w:val="1"/>
      <w:marLeft w:val="0"/>
      <w:marRight w:val="0"/>
      <w:marTop w:val="0"/>
      <w:marBottom w:val="0"/>
      <w:divBdr>
        <w:top w:val="none" w:sz="0" w:space="0" w:color="auto"/>
        <w:left w:val="none" w:sz="0" w:space="0" w:color="auto"/>
        <w:bottom w:val="none" w:sz="0" w:space="0" w:color="auto"/>
        <w:right w:val="none" w:sz="0" w:space="0" w:color="auto"/>
      </w:divBdr>
    </w:div>
    <w:div w:id="1845394305">
      <w:bodyDiv w:val="1"/>
      <w:marLeft w:val="0"/>
      <w:marRight w:val="0"/>
      <w:marTop w:val="0"/>
      <w:marBottom w:val="0"/>
      <w:divBdr>
        <w:top w:val="none" w:sz="0" w:space="0" w:color="auto"/>
        <w:left w:val="none" w:sz="0" w:space="0" w:color="auto"/>
        <w:bottom w:val="none" w:sz="0" w:space="0" w:color="auto"/>
        <w:right w:val="none" w:sz="0" w:space="0" w:color="auto"/>
      </w:divBdr>
    </w:div>
    <w:div w:id="1864974955">
      <w:bodyDiv w:val="1"/>
      <w:marLeft w:val="0"/>
      <w:marRight w:val="0"/>
      <w:marTop w:val="0"/>
      <w:marBottom w:val="0"/>
      <w:divBdr>
        <w:top w:val="none" w:sz="0" w:space="0" w:color="auto"/>
        <w:left w:val="none" w:sz="0" w:space="0" w:color="auto"/>
        <w:bottom w:val="none" w:sz="0" w:space="0" w:color="auto"/>
        <w:right w:val="none" w:sz="0" w:space="0" w:color="auto"/>
      </w:divBdr>
      <w:divsChild>
        <w:div w:id="104279667">
          <w:marLeft w:val="0"/>
          <w:marRight w:val="0"/>
          <w:marTop w:val="0"/>
          <w:marBottom w:val="0"/>
          <w:divBdr>
            <w:top w:val="none" w:sz="0" w:space="0" w:color="auto"/>
            <w:left w:val="none" w:sz="0" w:space="0" w:color="auto"/>
            <w:bottom w:val="none" w:sz="0" w:space="0" w:color="auto"/>
            <w:right w:val="none" w:sz="0" w:space="0" w:color="auto"/>
          </w:divBdr>
        </w:div>
        <w:div w:id="417756911">
          <w:marLeft w:val="0"/>
          <w:marRight w:val="0"/>
          <w:marTop w:val="0"/>
          <w:marBottom w:val="0"/>
          <w:divBdr>
            <w:top w:val="none" w:sz="0" w:space="0" w:color="auto"/>
            <w:left w:val="none" w:sz="0" w:space="0" w:color="auto"/>
            <w:bottom w:val="none" w:sz="0" w:space="0" w:color="auto"/>
            <w:right w:val="none" w:sz="0" w:space="0" w:color="auto"/>
          </w:divBdr>
        </w:div>
        <w:div w:id="538863278">
          <w:marLeft w:val="0"/>
          <w:marRight w:val="0"/>
          <w:marTop w:val="0"/>
          <w:marBottom w:val="0"/>
          <w:divBdr>
            <w:top w:val="none" w:sz="0" w:space="0" w:color="auto"/>
            <w:left w:val="none" w:sz="0" w:space="0" w:color="auto"/>
            <w:bottom w:val="none" w:sz="0" w:space="0" w:color="auto"/>
            <w:right w:val="none" w:sz="0" w:space="0" w:color="auto"/>
          </w:divBdr>
        </w:div>
        <w:div w:id="546527271">
          <w:marLeft w:val="0"/>
          <w:marRight w:val="0"/>
          <w:marTop w:val="0"/>
          <w:marBottom w:val="0"/>
          <w:divBdr>
            <w:top w:val="none" w:sz="0" w:space="0" w:color="auto"/>
            <w:left w:val="none" w:sz="0" w:space="0" w:color="auto"/>
            <w:bottom w:val="none" w:sz="0" w:space="0" w:color="auto"/>
            <w:right w:val="none" w:sz="0" w:space="0" w:color="auto"/>
          </w:divBdr>
        </w:div>
        <w:div w:id="661079635">
          <w:marLeft w:val="0"/>
          <w:marRight w:val="0"/>
          <w:marTop w:val="0"/>
          <w:marBottom w:val="0"/>
          <w:divBdr>
            <w:top w:val="none" w:sz="0" w:space="0" w:color="auto"/>
            <w:left w:val="none" w:sz="0" w:space="0" w:color="auto"/>
            <w:bottom w:val="none" w:sz="0" w:space="0" w:color="auto"/>
            <w:right w:val="none" w:sz="0" w:space="0" w:color="auto"/>
          </w:divBdr>
        </w:div>
        <w:div w:id="1034964489">
          <w:marLeft w:val="0"/>
          <w:marRight w:val="0"/>
          <w:marTop w:val="0"/>
          <w:marBottom w:val="0"/>
          <w:divBdr>
            <w:top w:val="none" w:sz="0" w:space="0" w:color="auto"/>
            <w:left w:val="none" w:sz="0" w:space="0" w:color="auto"/>
            <w:bottom w:val="none" w:sz="0" w:space="0" w:color="auto"/>
            <w:right w:val="none" w:sz="0" w:space="0" w:color="auto"/>
          </w:divBdr>
        </w:div>
        <w:div w:id="1098677729">
          <w:marLeft w:val="0"/>
          <w:marRight w:val="0"/>
          <w:marTop w:val="0"/>
          <w:marBottom w:val="0"/>
          <w:divBdr>
            <w:top w:val="none" w:sz="0" w:space="0" w:color="auto"/>
            <w:left w:val="none" w:sz="0" w:space="0" w:color="auto"/>
            <w:bottom w:val="none" w:sz="0" w:space="0" w:color="auto"/>
            <w:right w:val="none" w:sz="0" w:space="0" w:color="auto"/>
          </w:divBdr>
        </w:div>
        <w:div w:id="1135639827">
          <w:marLeft w:val="0"/>
          <w:marRight w:val="0"/>
          <w:marTop w:val="0"/>
          <w:marBottom w:val="0"/>
          <w:divBdr>
            <w:top w:val="none" w:sz="0" w:space="0" w:color="auto"/>
            <w:left w:val="none" w:sz="0" w:space="0" w:color="auto"/>
            <w:bottom w:val="none" w:sz="0" w:space="0" w:color="auto"/>
            <w:right w:val="none" w:sz="0" w:space="0" w:color="auto"/>
          </w:divBdr>
        </w:div>
        <w:div w:id="1222443266">
          <w:marLeft w:val="0"/>
          <w:marRight w:val="0"/>
          <w:marTop w:val="0"/>
          <w:marBottom w:val="0"/>
          <w:divBdr>
            <w:top w:val="none" w:sz="0" w:space="0" w:color="auto"/>
            <w:left w:val="none" w:sz="0" w:space="0" w:color="auto"/>
            <w:bottom w:val="none" w:sz="0" w:space="0" w:color="auto"/>
            <w:right w:val="none" w:sz="0" w:space="0" w:color="auto"/>
          </w:divBdr>
        </w:div>
        <w:div w:id="1355377002">
          <w:marLeft w:val="0"/>
          <w:marRight w:val="0"/>
          <w:marTop w:val="0"/>
          <w:marBottom w:val="0"/>
          <w:divBdr>
            <w:top w:val="none" w:sz="0" w:space="0" w:color="auto"/>
            <w:left w:val="none" w:sz="0" w:space="0" w:color="auto"/>
            <w:bottom w:val="none" w:sz="0" w:space="0" w:color="auto"/>
            <w:right w:val="none" w:sz="0" w:space="0" w:color="auto"/>
          </w:divBdr>
        </w:div>
        <w:div w:id="1385716799">
          <w:marLeft w:val="0"/>
          <w:marRight w:val="0"/>
          <w:marTop w:val="0"/>
          <w:marBottom w:val="0"/>
          <w:divBdr>
            <w:top w:val="none" w:sz="0" w:space="0" w:color="auto"/>
            <w:left w:val="none" w:sz="0" w:space="0" w:color="auto"/>
            <w:bottom w:val="none" w:sz="0" w:space="0" w:color="auto"/>
            <w:right w:val="none" w:sz="0" w:space="0" w:color="auto"/>
          </w:divBdr>
        </w:div>
        <w:div w:id="1401751374">
          <w:marLeft w:val="0"/>
          <w:marRight w:val="0"/>
          <w:marTop w:val="0"/>
          <w:marBottom w:val="0"/>
          <w:divBdr>
            <w:top w:val="none" w:sz="0" w:space="0" w:color="auto"/>
            <w:left w:val="none" w:sz="0" w:space="0" w:color="auto"/>
            <w:bottom w:val="none" w:sz="0" w:space="0" w:color="auto"/>
            <w:right w:val="none" w:sz="0" w:space="0" w:color="auto"/>
          </w:divBdr>
        </w:div>
        <w:div w:id="1714889064">
          <w:marLeft w:val="0"/>
          <w:marRight w:val="0"/>
          <w:marTop w:val="0"/>
          <w:marBottom w:val="0"/>
          <w:divBdr>
            <w:top w:val="none" w:sz="0" w:space="0" w:color="auto"/>
            <w:left w:val="none" w:sz="0" w:space="0" w:color="auto"/>
            <w:bottom w:val="none" w:sz="0" w:space="0" w:color="auto"/>
            <w:right w:val="none" w:sz="0" w:space="0" w:color="auto"/>
          </w:divBdr>
        </w:div>
        <w:div w:id="2002924086">
          <w:marLeft w:val="0"/>
          <w:marRight w:val="0"/>
          <w:marTop w:val="0"/>
          <w:marBottom w:val="0"/>
          <w:divBdr>
            <w:top w:val="none" w:sz="0" w:space="0" w:color="auto"/>
            <w:left w:val="none" w:sz="0" w:space="0" w:color="auto"/>
            <w:bottom w:val="none" w:sz="0" w:space="0" w:color="auto"/>
            <w:right w:val="none" w:sz="0" w:space="0" w:color="auto"/>
          </w:divBdr>
        </w:div>
        <w:div w:id="2131508791">
          <w:marLeft w:val="0"/>
          <w:marRight w:val="0"/>
          <w:marTop w:val="0"/>
          <w:marBottom w:val="0"/>
          <w:divBdr>
            <w:top w:val="none" w:sz="0" w:space="0" w:color="auto"/>
            <w:left w:val="none" w:sz="0" w:space="0" w:color="auto"/>
            <w:bottom w:val="none" w:sz="0" w:space="0" w:color="auto"/>
            <w:right w:val="none" w:sz="0" w:space="0" w:color="auto"/>
          </w:divBdr>
        </w:div>
      </w:divsChild>
    </w:div>
    <w:div w:id="1905290823">
      <w:bodyDiv w:val="1"/>
      <w:marLeft w:val="0"/>
      <w:marRight w:val="0"/>
      <w:marTop w:val="0"/>
      <w:marBottom w:val="0"/>
      <w:divBdr>
        <w:top w:val="none" w:sz="0" w:space="0" w:color="auto"/>
        <w:left w:val="none" w:sz="0" w:space="0" w:color="auto"/>
        <w:bottom w:val="none" w:sz="0" w:space="0" w:color="auto"/>
        <w:right w:val="none" w:sz="0" w:space="0" w:color="auto"/>
      </w:divBdr>
    </w:div>
    <w:div w:id="1919172293">
      <w:bodyDiv w:val="1"/>
      <w:marLeft w:val="0"/>
      <w:marRight w:val="0"/>
      <w:marTop w:val="0"/>
      <w:marBottom w:val="0"/>
      <w:divBdr>
        <w:top w:val="none" w:sz="0" w:space="0" w:color="auto"/>
        <w:left w:val="none" w:sz="0" w:space="0" w:color="auto"/>
        <w:bottom w:val="none" w:sz="0" w:space="0" w:color="auto"/>
        <w:right w:val="none" w:sz="0" w:space="0" w:color="auto"/>
      </w:divBdr>
    </w:div>
    <w:div w:id="1952543491">
      <w:bodyDiv w:val="1"/>
      <w:marLeft w:val="0"/>
      <w:marRight w:val="0"/>
      <w:marTop w:val="0"/>
      <w:marBottom w:val="0"/>
      <w:divBdr>
        <w:top w:val="none" w:sz="0" w:space="0" w:color="auto"/>
        <w:left w:val="none" w:sz="0" w:space="0" w:color="auto"/>
        <w:bottom w:val="none" w:sz="0" w:space="0" w:color="auto"/>
        <w:right w:val="none" w:sz="0" w:space="0" w:color="auto"/>
      </w:divBdr>
    </w:div>
    <w:div w:id="1953130236">
      <w:bodyDiv w:val="1"/>
      <w:marLeft w:val="0"/>
      <w:marRight w:val="0"/>
      <w:marTop w:val="0"/>
      <w:marBottom w:val="0"/>
      <w:divBdr>
        <w:top w:val="none" w:sz="0" w:space="0" w:color="auto"/>
        <w:left w:val="none" w:sz="0" w:space="0" w:color="auto"/>
        <w:bottom w:val="none" w:sz="0" w:space="0" w:color="auto"/>
        <w:right w:val="none" w:sz="0" w:space="0" w:color="auto"/>
      </w:divBdr>
    </w:div>
    <w:div w:id="1960604867">
      <w:bodyDiv w:val="1"/>
      <w:marLeft w:val="0"/>
      <w:marRight w:val="0"/>
      <w:marTop w:val="0"/>
      <w:marBottom w:val="0"/>
      <w:divBdr>
        <w:top w:val="none" w:sz="0" w:space="0" w:color="auto"/>
        <w:left w:val="none" w:sz="0" w:space="0" w:color="auto"/>
        <w:bottom w:val="none" w:sz="0" w:space="0" w:color="auto"/>
        <w:right w:val="none" w:sz="0" w:space="0" w:color="auto"/>
      </w:divBdr>
    </w:div>
    <w:div w:id="2118985308">
      <w:bodyDiv w:val="1"/>
      <w:marLeft w:val="0"/>
      <w:marRight w:val="0"/>
      <w:marTop w:val="0"/>
      <w:marBottom w:val="0"/>
      <w:divBdr>
        <w:top w:val="none" w:sz="0" w:space="0" w:color="auto"/>
        <w:left w:val="none" w:sz="0" w:space="0" w:color="auto"/>
        <w:bottom w:val="none" w:sz="0" w:space="0" w:color="auto"/>
        <w:right w:val="none" w:sz="0" w:space="0" w:color="auto"/>
      </w:divBdr>
      <w:divsChild>
        <w:div w:id="27455881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oinnovation.dk/englis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F582A7FB9E3C3418D37AB113A79AF90" ma:contentTypeVersion="13" ma:contentTypeDescription="Create a new document." ma:contentTypeScope="" ma:versionID="ae8652f5c949c338ee72a67a5657cc59">
  <xsd:schema xmlns:xsd="http://www.w3.org/2001/XMLSchema" xmlns:xs="http://www.w3.org/2001/XMLSchema" xmlns:p="http://schemas.microsoft.com/office/2006/metadata/properties" xmlns:ns3="d108b6ea-b8a2-41f9-b8cf-c67e6fced39d" xmlns:ns4="7906bd9a-b6a7-4baf-82b1-d28b9caae823" targetNamespace="http://schemas.microsoft.com/office/2006/metadata/properties" ma:root="true" ma:fieldsID="e8fe3f87109a885d1e41393e5469d2b3" ns3:_="" ns4:_="">
    <xsd:import namespace="d108b6ea-b8a2-41f9-b8cf-c67e6fced39d"/>
    <xsd:import namespace="7906bd9a-b6a7-4baf-82b1-d28b9caae82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8b6ea-b8a2-41f9-b8cf-c67e6fced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6bd9a-b6a7-4baf-82b1-d28b9caae82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892E71-8430-4E92-9EA6-87AD81D221A5}">
  <ds:schemaRefs>
    <ds:schemaRef ds:uri="http://schemas.microsoft.com/sharepoint/v3/contenttype/forms"/>
  </ds:schemaRefs>
</ds:datastoreItem>
</file>

<file path=customXml/itemProps2.xml><?xml version="1.0" encoding="utf-8"?>
<ds:datastoreItem xmlns:ds="http://schemas.openxmlformats.org/officeDocument/2006/customXml" ds:itemID="{AB18A64E-8C52-4408-860D-5E4F0B411FE6}">
  <ds:schemaRefs>
    <ds:schemaRef ds:uri="http://schemas.openxmlformats.org/officeDocument/2006/bibliography"/>
  </ds:schemaRefs>
</ds:datastoreItem>
</file>

<file path=customXml/itemProps3.xml><?xml version="1.0" encoding="utf-8"?>
<ds:datastoreItem xmlns:ds="http://schemas.openxmlformats.org/officeDocument/2006/customXml" ds:itemID="{AA01A363-419F-4B0B-9846-503121BBF0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0E8F0A-4D27-44E7-A8CD-DFBD3E7B3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8b6ea-b8a2-41f9-b8cf-c67e6fced39d"/>
    <ds:schemaRef ds:uri="7906bd9a-b6a7-4baf-82b1-d28b9caae8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5741</Words>
  <Characters>30410</Characters>
  <Application>Microsoft Office Word</Application>
  <DocSecurity>0</DocSecurity>
  <Lines>253</Lines>
  <Paragraphs>72</Paragraphs>
  <ScaleCrop>false</ScaleCrop>
  <HeadingPairs>
    <vt:vector size="8" baseType="variant">
      <vt:variant>
        <vt:lpstr>Title</vt:lpstr>
      </vt:variant>
      <vt:variant>
        <vt:i4>1</vt:i4>
      </vt:variant>
      <vt:variant>
        <vt:lpstr>Titel</vt:lpstr>
      </vt:variant>
      <vt:variant>
        <vt:i4>1</vt:i4>
      </vt:variant>
      <vt:variant>
        <vt:lpstr>Título</vt:lpstr>
      </vt:variant>
      <vt:variant>
        <vt:i4>1</vt:i4>
      </vt:variant>
      <vt:variant>
        <vt:lpstr>Titre</vt:lpstr>
      </vt:variant>
      <vt:variant>
        <vt:i4>1</vt:i4>
      </vt:variant>
    </vt:vector>
  </HeadingPairs>
  <TitlesOfParts>
    <vt:vector size="4" baseType="lpstr">
      <vt:lpstr>Agenda Item 1</vt:lpstr>
      <vt:lpstr>Agenda Item 1</vt:lpstr>
      <vt:lpstr>Agenda Item 1</vt:lpstr>
      <vt:lpstr>Agenda Item 1</vt:lpstr>
    </vt:vector>
  </TitlesOfParts>
  <Company>ospar</Company>
  <LinksUpToDate>false</LinksUpToDate>
  <CharactersWithSpaces>36079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1</dc:title>
  <dc:subject/>
  <dc:creator>lise</dc:creator>
  <cp:keywords/>
  <cp:lastModifiedBy>Olle Akesson</cp:lastModifiedBy>
  <cp:revision>5</cp:revision>
  <cp:lastPrinted>2018-12-07T10:12:00Z</cp:lastPrinted>
  <dcterms:created xsi:type="dcterms:W3CDTF">2022-05-12T12:54:00Z</dcterms:created>
  <dcterms:modified xsi:type="dcterms:W3CDTF">2022-05-20T12:11:00Z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0x0101002F582A7FB9E3C3418D37AB113A79AF90</vt:lpwstr>
  </property>
</Properties>
</file>