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87ED" w14:textId="33EF3CBC" w:rsidR="00520824" w:rsidRPr="001E7437" w:rsidRDefault="00520824" w:rsidP="00FF5FD8">
      <w:pPr>
        <w:pStyle w:val="Title"/>
        <w:spacing w:before="120" w:after="0"/>
        <w:rPr>
          <w:rFonts w:asciiTheme="minorHAnsi" w:hAnsiTheme="minorHAnsi" w:cstheme="minorHAnsi"/>
          <w:szCs w:val="40"/>
        </w:rPr>
      </w:pPr>
      <w:r w:rsidRPr="001E7437">
        <w:rPr>
          <w:rFonts w:asciiTheme="minorHAnsi" w:hAnsiTheme="minorHAnsi" w:cstheme="minorHAnsi"/>
          <w:szCs w:val="40"/>
        </w:rPr>
        <w:t xml:space="preserve">Terms of reference for the </w:t>
      </w:r>
      <w:r w:rsidR="00462045" w:rsidRPr="001E7437">
        <w:rPr>
          <w:rFonts w:asciiTheme="minorHAnsi" w:hAnsiTheme="minorHAnsi" w:cstheme="minorHAnsi"/>
          <w:szCs w:val="40"/>
        </w:rPr>
        <w:t xml:space="preserve">Working Group on Operational, Technical and Scientific Questions </w:t>
      </w:r>
      <w:r w:rsidR="007657C9" w:rsidRPr="001E7437">
        <w:rPr>
          <w:rFonts w:asciiTheme="minorHAnsi" w:hAnsiTheme="minorHAnsi" w:cstheme="minorHAnsi"/>
          <w:szCs w:val="40"/>
        </w:rPr>
        <w:t xml:space="preserve">of the Bonn Agreement </w:t>
      </w:r>
      <w:r w:rsidRPr="001E7437">
        <w:rPr>
          <w:rFonts w:asciiTheme="minorHAnsi" w:hAnsiTheme="minorHAnsi" w:cstheme="minorHAnsi"/>
          <w:szCs w:val="40"/>
        </w:rPr>
        <w:t>(</w:t>
      </w:r>
      <w:r w:rsidR="00462045" w:rsidRPr="001E7437">
        <w:rPr>
          <w:rFonts w:asciiTheme="minorHAnsi" w:hAnsiTheme="minorHAnsi" w:cstheme="minorHAnsi"/>
          <w:szCs w:val="40"/>
        </w:rPr>
        <w:t>OT</w:t>
      </w:r>
      <w:r w:rsidR="007657C9" w:rsidRPr="001E7437">
        <w:rPr>
          <w:rFonts w:asciiTheme="minorHAnsi" w:hAnsiTheme="minorHAnsi" w:cstheme="minorHAnsi"/>
          <w:szCs w:val="40"/>
        </w:rPr>
        <w:t>SO</w:t>
      </w:r>
      <w:r w:rsidR="00462045" w:rsidRPr="001E7437">
        <w:rPr>
          <w:rFonts w:asciiTheme="minorHAnsi" w:hAnsiTheme="minorHAnsi" w:cstheme="minorHAnsi"/>
          <w:szCs w:val="40"/>
        </w:rPr>
        <w:t>PA</w:t>
      </w:r>
      <w:r w:rsidRPr="001E7437">
        <w:rPr>
          <w:rFonts w:asciiTheme="minorHAnsi" w:hAnsiTheme="minorHAnsi" w:cstheme="minorHAnsi"/>
          <w:szCs w:val="40"/>
        </w:rPr>
        <w:t>)</w:t>
      </w:r>
    </w:p>
    <w:p w14:paraId="582028F3" w14:textId="77777777" w:rsidR="00520824" w:rsidRPr="00C5573B" w:rsidRDefault="00520824" w:rsidP="00520824">
      <w:pPr>
        <w:spacing w:before="240"/>
        <w:rPr>
          <w:rFonts w:cstheme="minorHAnsi"/>
          <w:b/>
        </w:rPr>
      </w:pPr>
      <w:r w:rsidRPr="00C5573B">
        <w:rPr>
          <w:rFonts w:cstheme="minorHAnsi"/>
          <w:b/>
        </w:rPr>
        <w:t>Background</w:t>
      </w:r>
    </w:p>
    <w:p w14:paraId="5A466F4C" w14:textId="77777777" w:rsidR="00DE6143" w:rsidRDefault="00DE6143" w:rsidP="00DE6143">
      <w:pPr>
        <w:numPr>
          <w:ilvl w:val="0"/>
          <w:numId w:val="14"/>
        </w:numPr>
        <w:tabs>
          <w:tab w:val="left" w:pos="567"/>
        </w:tabs>
        <w:spacing w:before="120" w:after="0" w:line="280" w:lineRule="atLeast"/>
        <w:ind w:left="0" w:firstLine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OTSOPA is the </w:t>
      </w:r>
      <w:r>
        <w:t xml:space="preserve">Working Group on Operational, Technical and Scientific Questions </w:t>
      </w:r>
      <w:r w:rsidRPr="00C5573B">
        <w:rPr>
          <w:rFonts w:cstheme="minorHAnsi"/>
          <w:bCs/>
        </w:rPr>
        <w:t>established under the Bonn Agreement.</w:t>
      </w:r>
      <w:r>
        <w:rPr>
          <w:rFonts w:cstheme="minorHAnsi"/>
          <w:bCs/>
        </w:rPr>
        <w:t xml:space="preserve"> </w:t>
      </w:r>
    </w:p>
    <w:p w14:paraId="64CFDBD9" w14:textId="66B5862A" w:rsidR="00520824" w:rsidRPr="00C5573B" w:rsidRDefault="006A7DB3" w:rsidP="00520824">
      <w:pPr>
        <w:pStyle w:val="ListParagraph"/>
        <w:numPr>
          <w:ilvl w:val="0"/>
          <w:numId w:val="14"/>
        </w:numPr>
        <w:spacing w:before="120" w:after="0" w:line="280" w:lineRule="atLeast"/>
        <w:ind w:left="0" w:firstLine="0"/>
        <w:contextualSpacing w:val="0"/>
        <w:jc w:val="both"/>
        <w:rPr>
          <w:rFonts w:cstheme="minorHAnsi"/>
          <w:bCs/>
        </w:rPr>
      </w:pPr>
      <w:r>
        <w:rPr>
          <w:rFonts w:cstheme="minorHAnsi"/>
          <w:bCs/>
        </w:rPr>
        <w:t>The Bonn Agreement meeting in 1978 agreed</w:t>
      </w:r>
      <w:r w:rsidR="00821AF6">
        <w:rPr>
          <w:rFonts w:cstheme="minorHAnsi"/>
          <w:bCs/>
        </w:rPr>
        <w:t xml:space="preserve"> (BONN 1978 SR Item 6.2)</w:t>
      </w:r>
      <w:r>
        <w:rPr>
          <w:rFonts w:cstheme="minorHAnsi"/>
          <w:bCs/>
        </w:rPr>
        <w:t xml:space="preserve"> to establish </w:t>
      </w:r>
      <w:r w:rsidR="00821AF6">
        <w:rPr>
          <w:rFonts w:cstheme="minorHAnsi"/>
          <w:bCs/>
        </w:rPr>
        <w:t>a special working group to examine technical, scientific and organisational questions. The first meeting of the Ad Hoc Working Group for Operational, Technical and Scientific questions concerning Oil Pollution Abatement (</w:t>
      </w:r>
      <w:r w:rsidR="00520824" w:rsidRPr="00C5573B">
        <w:rPr>
          <w:rFonts w:cstheme="minorHAnsi"/>
          <w:bCs/>
        </w:rPr>
        <w:t>O</w:t>
      </w:r>
      <w:r w:rsidR="001F6F18">
        <w:rPr>
          <w:rFonts w:cstheme="minorHAnsi"/>
          <w:bCs/>
        </w:rPr>
        <w:t>TOSPA</w:t>
      </w:r>
      <w:r w:rsidR="00821AF6">
        <w:rPr>
          <w:rFonts w:cstheme="minorHAnsi"/>
          <w:bCs/>
        </w:rPr>
        <w:t>)</w:t>
      </w:r>
      <w:r w:rsidR="001F6F18">
        <w:rPr>
          <w:rFonts w:cstheme="minorHAnsi"/>
          <w:bCs/>
        </w:rPr>
        <w:t xml:space="preserve"> w</w:t>
      </w:r>
      <w:r w:rsidR="00821AF6">
        <w:rPr>
          <w:rFonts w:cstheme="minorHAnsi"/>
          <w:bCs/>
        </w:rPr>
        <w:t>ere held later in 1978.</w:t>
      </w:r>
      <w:r w:rsidR="001F6F18">
        <w:rPr>
          <w:rFonts w:cstheme="minorHAnsi"/>
          <w:bCs/>
        </w:rPr>
        <w:t xml:space="preserve"> </w:t>
      </w:r>
    </w:p>
    <w:p w14:paraId="1532116A" w14:textId="77777777" w:rsidR="00520824" w:rsidRPr="00C5573B" w:rsidRDefault="00520824" w:rsidP="00520824">
      <w:pPr>
        <w:spacing w:before="240"/>
        <w:rPr>
          <w:rFonts w:cstheme="minorHAnsi"/>
          <w:b/>
        </w:rPr>
      </w:pPr>
      <w:r w:rsidRPr="00C5573B">
        <w:rPr>
          <w:rFonts w:cstheme="minorHAnsi"/>
          <w:b/>
        </w:rPr>
        <w:t xml:space="preserve">Aim </w:t>
      </w:r>
    </w:p>
    <w:p w14:paraId="236C48DB" w14:textId="07F982F0" w:rsidR="00F94806" w:rsidRPr="00F94806" w:rsidRDefault="00462045" w:rsidP="00520824">
      <w:pPr>
        <w:numPr>
          <w:ilvl w:val="0"/>
          <w:numId w:val="14"/>
        </w:numPr>
        <w:tabs>
          <w:tab w:val="left" w:pos="567"/>
        </w:tabs>
        <w:spacing w:before="120" w:after="0" w:line="280" w:lineRule="atLeast"/>
        <w:ind w:left="0" w:firstLine="0"/>
        <w:jc w:val="both"/>
        <w:rPr>
          <w:rFonts w:cstheme="minorHAnsi"/>
          <w:bCs/>
        </w:rPr>
      </w:pPr>
      <w:r>
        <w:rPr>
          <w:rFonts w:cstheme="minorHAnsi"/>
          <w:bCs/>
        </w:rPr>
        <w:t>OTSOPA supports regional</w:t>
      </w:r>
      <w:r>
        <w:rPr>
          <w:rFonts w:ascii="Calibri" w:hAnsi="Calibri"/>
        </w:rPr>
        <w:t xml:space="preserve"> cooperation to prevent, prepare for and respond to accidental and illegal marine pollution from maritime activities in the Bonn Agreement area through </w:t>
      </w:r>
      <w:r w:rsidR="00AC7E6A">
        <w:rPr>
          <w:rFonts w:ascii="Calibri" w:hAnsi="Calibri"/>
        </w:rPr>
        <w:t xml:space="preserve">assisting on </w:t>
      </w:r>
      <w:r>
        <w:rPr>
          <w:rFonts w:ascii="Calibri" w:hAnsi="Calibri"/>
        </w:rPr>
        <w:t>the</w:t>
      </w:r>
      <w:r>
        <w:rPr>
          <w:rFonts w:cstheme="minorHAnsi"/>
          <w:bCs/>
        </w:rPr>
        <w:t xml:space="preserve"> implementation of the Bonn Agreement Strategy Action Plan (BASAP).</w:t>
      </w:r>
      <w:r w:rsidR="00F94806" w:rsidRPr="00F94806">
        <w:t xml:space="preserve"> </w:t>
      </w:r>
    </w:p>
    <w:p w14:paraId="0B873E74" w14:textId="03C1ECE8" w:rsidR="00462045" w:rsidRDefault="00F94806" w:rsidP="00520824">
      <w:pPr>
        <w:numPr>
          <w:ilvl w:val="0"/>
          <w:numId w:val="14"/>
        </w:numPr>
        <w:tabs>
          <w:tab w:val="left" w:pos="567"/>
        </w:tabs>
        <w:spacing w:before="120" w:after="0" w:line="280" w:lineRule="atLeast"/>
        <w:ind w:left="0" w:firstLine="0"/>
        <w:jc w:val="both"/>
        <w:rPr>
          <w:rFonts w:cstheme="minorHAnsi"/>
          <w:bCs/>
        </w:rPr>
      </w:pPr>
      <w:r>
        <w:t xml:space="preserve">OTSOPA aims to </w:t>
      </w:r>
      <w:r w:rsidRPr="00462045">
        <w:rPr>
          <w:rFonts w:cstheme="minorHAnsi"/>
          <w:bCs/>
        </w:rPr>
        <w:t>share best practice, discuss pollution trends and new maritime developments, exchange information on new projects, equipment or tools, and agree upon and evaluate a joint programme of work</w:t>
      </w:r>
      <w:r>
        <w:rPr>
          <w:rFonts w:cstheme="minorHAnsi"/>
          <w:bCs/>
        </w:rPr>
        <w:t>.</w:t>
      </w:r>
    </w:p>
    <w:p w14:paraId="7F0772C3" w14:textId="23762DB1" w:rsidR="00520824" w:rsidRPr="00C5573B" w:rsidRDefault="001F6F18" w:rsidP="00520824">
      <w:pPr>
        <w:spacing w:before="240"/>
        <w:rPr>
          <w:rFonts w:cstheme="minorHAnsi"/>
          <w:b/>
        </w:rPr>
      </w:pPr>
      <w:r>
        <w:rPr>
          <w:rFonts w:cstheme="minorHAnsi"/>
          <w:b/>
        </w:rPr>
        <w:t>Scope of work</w:t>
      </w:r>
    </w:p>
    <w:p w14:paraId="1709CB05" w14:textId="3DBE023B" w:rsidR="00F94806" w:rsidRPr="00462045" w:rsidRDefault="00F94806" w:rsidP="00F94806">
      <w:pPr>
        <w:numPr>
          <w:ilvl w:val="0"/>
          <w:numId w:val="14"/>
        </w:numPr>
        <w:tabs>
          <w:tab w:val="left" w:pos="567"/>
        </w:tabs>
        <w:spacing w:before="120" w:after="0" w:line="280" w:lineRule="atLeast"/>
        <w:ind w:left="0" w:firstLine="0"/>
        <w:jc w:val="both"/>
        <w:rPr>
          <w:rFonts w:cstheme="minorHAnsi"/>
          <w:bCs/>
        </w:rPr>
      </w:pPr>
      <w:r>
        <w:rPr>
          <w:rFonts w:cstheme="minorHAnsi"/>
          <w:bCs/>
        </w:rPr>
        <w:t>The</w:t>
      </w:r>
      <w:r w:rsidRPr="00462045">
        <w:rPr>
          <w:rFonts w:cstheme="minorHAnsi"/>
          <w:bCs/>
        </w:rPr>
        <w:t xml:space="preserve"> key activities coordinated via OTSOPA </w:t>
      </w:r>
      <w:r>
        <w:rPr>
          <w:rFonts w:cstheme="minorHAnsi"/>
          <w:bCs/>
        </w:rPr>
        <w:t>include:</w:t>
      </w:r>
    </w:p>
    <w:p w14:paraId="4492BCFA" w14:textId="68090C8E" w:rsidR="000962F1" w:rsidRDefault="00837DBE" w:rsidP="00CD197A">
      <w:pPr>
        <w:numPr>
          <w:ilvl w:val="0"/>
          <w:numId w:val="16"/>
        </w:numPr>
        <w:tabs>
          <w:tab w:val="left" w:pos="567"/>
        </w:tabs>
        <w:spacing w:before="120" w:after="0" w:line="280" w:lineRule="atLeast"/>
        <w:ind w:left="1134" w:hanging="567"/>
        <w:jc w:val="both"/>
        <w:rPr>
          <w:rFonts w:cstheme="minorHAnsi"/>
          <w:bCs/>
        </w:rPr>
      </w:pPr>
      <w:r>
        <w:t>i</w:t>
      </w:r>
      <w:r w:rsidR="000962F1">
        <w:t xml:space="preserve">mplementing the </w:t>
      </w:r>
      <w:r w:rsidR="000962F1">
        <w:rPr>
          <w:rFonts w:cstheme="minorHAnsi"/>
          <w:bCs/>
        </w:rPr>
        <w:t>Bonn Agreement Strategy Action Plan (BASAP);</w:t>
      </w:r>
    </w:p>
    <w:p w14:paraId="499FF54F" w14:textId="595C4A14" w:rsidR="00F94806" w:rsidRPr="00F94806" w:rsidRDefault="00F94806" w:rsidP="00CD197A">
      <w:pPr>
        <w:numPr>
          <w:ilvl w:val="0"/>
          <w:numId w:val="16"/>
        </w:numPr>
        <w:tabs>
          <w:tab w:val="left" w:pos="567"/>
        </w:tabs>
        <w:spacing w:before="120" w:after="0" w:line="280" w:lineRule="atLeast"/>
        <w:ind w:left="1134" w:hanging="567"/>
        <w:jc w:val="both"/>
        <w:rPr>
          <w:rFonts w:cstheme="minorHAnsi"/>
          <w:bCs/>
        </w:rPr>
      </w:pPr>
      <w:r>
        <w:t>establishing aerial surveillance programmes;</w:t>
      </w:r>
    </w:p>
    <w:p w14:paraId="5F9AA6B9" w14:textId="71674FF5" w:rsidR="00F94806" w:rsidRPr="00F94806" w:rsidRDefault="00F94806" w:rsidP="00CD197A">
      <w:pPr>
        <w:numPr>
          <w:ilvl w:val="0"/>
          <w:numId w:val="16"/>
        </w:numPr>
        <w:tabs>
          <w:tab w:val="left" w:pos="567"/>
        </w:tabs>
        <w:spacing w:before="120" w:after="0" w:line="280" w:lineRule="atLeast"/>
        <w:ind w:left="1134" w:hanging="567"/>
        <w:jc w:val="both"/>
        <w:rPr>
          <w:rFonts w:cstheme="minorHAnsi"/>
          <w:bCs/>
        </w:rPr>
      </w:pPr>
      <w:r>
        <w:t xml:space="preserve">monitoring and assessing the detections identified by the surveillance programmes; </w:t>
      </w:r>
    </w:p>
    <w:p w14:paraId="42B9C7BE" w14:textId="79DD7657" w:rsidR="00F94806" w:rsidRPr="00F94806" w:rsidRDefault="00F94806" w:rsidP="00CD197A">
      <w:pPr>
        <w:numPr>
          <w:ilvl w:val="0"/>
          <w:numId w:val="16"/>
        </w:numPr>
        <w:tabs>
          <w:tab w:val="left" w:pos="567"/>
        </w:tabs>
        <w:spacing w:before="120" w:after="0" w:line="280" w:lineRule="atLeast"/>
        <w:ind w:left="1134" w:hanging="567"/>
        <w:jc w:val="both"/>
        <w:rPr>
          <w:rFonts w:cstheme="minorHAnsi"/>
          <w:bCs/>
        </w:rPr>
      </w:pPr>
      <w:r>
        <w:t>testing cooperation through counter pollution exercises;</w:t>
      </w:r>
    </w:p>
    <w:p w14:paraId="5A14DD32" w14:textId="7AFE47A7" w:rsidR="00F94806" w:rsidRPr="00DE6143" w:rsidRDefault="00DE6143" w:rsidP="00CD197A">
      <w:pPr>
        <w:numPr>
          <w:ilvl w:val="0"/>
          <w:numId w:val="16"/>
        </w:numPr>
        <w:tabs>
          <w:tab w:val="left" w:pos="567"/>
        </w:tabs>
        <w:spacing w:before="120" w:after="0" w:line="280" w:lineRule="atLeast"/>
        <w:ind w:left="1134" w:hanging="567"/>
        <w:jc w:val="both"/>
        <w:rPr>
          <w:rFonts w:cstheme="minorHAnsi"/>
          <w:bCs/>
        </w:rPr>
      </w:pPr>
      <w:r>
        <w:t xml:space="preserve">keeping under review the </w:t>
      </w:r>
      <w:r w:rsidR="003008FD">
        <w:t xml:space="preserve">Bonn Agreement </w:t>
      </w:r>
      <w:r>
        <w:t>Counter Pollution Manual;</w:t>
      </w:r>
    </w:p>
    <w:p w14:paraId="3939E070" w14:textId="4AB0DC76" w:rsidR="00DE6143" w:rsidRPr="00DE6143" w:rsidRDefault="00DE6143" w:rsidP="00CD197A">
      <w:pPr>
        <w:numPr>
          <w:ilvl w:val="0"/>
          <w:numId w:val="16"/>
        </w:numPr>
        <w:tabs>
          <w:tab w:val="left" w:pos="567"/>
        </w:tabs>
        <w:spacing w:before="120" w:after="0" w:line="280" w:lineRule="atLeast"/>
        <w:ind w:left="1134" w:hanging="567"/>
        <w:jc w:val="both"/>
        <w:rPr>
          <w:rFonts w:cstheme="minorHAnsi"/>
          <w:bCs/>
        </w:rPr>
      </w:pPr>
      <w:r>
        <w:t xml:space="preserve">ensuring efficient cooperation based on an </w:t>
      </w:r>
      <w:r w:rsidR="003008FD">
        <w:t>effective</w:t>
      </w:r>
      <w:r>
        <w:t xml:space="preserve"> response strategy;</w:t>
      </w:r>
    </w:p>
    <w:p w14:paraId="42CD5B62" w14:textId="7E066D6F" w:rsidR="00DE6143" w:rsidRDefault="003008FD" w:rsidP="00CD197A">
      <w:pPr>
        <w:numPr>
          <w:ilvl w:val="0"/>
          <w:numId w:val="16"/>
        </w:numPr>
        <w:tabs>
          <w:tab w:val="left" w:pos="567"/>
        </w:tabs>
        <w:spacing w:before="120" w:after="0" w:line="280" w:lineRule="atLeast"/>
        <w:ind w:left="1134" w:hanging="567"/>
        <w:jc w:val="both"/>
        <w:rPr>
          <w:rFonts w:cstheme="minorHAnsi"/>
          <w:bCs/>
        </w:rPr>
      </w:pPr>
      <w:r>
        <w:t xml:space="preserve">implementing </w:t>
      </w:r>
      <w:r w:rsidR="007657C9">
        <w:t xml:space="preserve">the </w:t>
      </w:r>
      <w:r w:rsidR="007657C9" w:rsidRPr="00462045">
        <w:rPr>
          <w:rFonts w:cstheme="minorHAnsi"/>
          <w:bCs/>
        </w:rPr>
        <w:t>Sub-regional response plans</w:t>
      </w:r>
      <w:r w:rsidR="007657C9">
        <w:t xml:space="preserve"> which cover</w:t>
      </w:r>
      <w:r w:rsidR="00DE6143">
        <w:t xml:space="preserve"> </w:t>
      </w:r>
      <w:r w:rsidR="00DE6143" w:rsidRPr="00462045">
        <w:rPr>
          <w:rFonts w:cstheme="minorHAnsi"/>
          <w:bCs/>
        </w:rPr>
        <w:t>Joint Responsibility Zones</w:t>
      </w:r>
      <w:r w:rsidR="007657C9">
        <w:rPr>
          <w:rFonts w:cstheme="minorHAnsi"/>
          <w:bCs/>
        </w:rPr>
        <w:t>;</w:t>
      </w:r>
      <w:r w:rsidR="000A4249">
        <w:rPr>
          <w:rFonts w:cstheme="minorHAnsi"/>
          <w:bCs/>
        </w:rPr>
        <w:t xml:space="preserve"> and</w:t>
      </w:r>
    </w:p>
    <w:p w14:paraId="5BF8B8B9" w14:textId="69FD0615" w:rsidR="007657C9" w:rsidRDefault="007657C9" w:rsidP="00CD197A">
      <w:pPr>
        <w:numPr>
          <w:ilvl w:val="0"/>
          <w:numId w:val="16"/>
        </w:numPr>
        <w:tabs>
          <w:tab w:val="left" w:pos="567"/>
        </w:tabs>
        <w:spacing w:before="120" w:after="0" w:line="280" w:lineRule="atLeast"/>
        <w:ind w:left="1134" w:hanging="56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evaluating applications from potential observers and </w:t>
      </w:r>
      <w:r w:rsidR="000A4249">
        <w:rPr>
          <w:rFonts w:cstheme="minorHAnsi"/>
          <w:bCs/>
        </w:rPr>
        <w:t xml:space="preserve">providing </w:t>
      </w:r>
      <w:r>
        <w:rPr>
          <w:rFonts w:cstheme="minorHAnsi"/>
          <w:bCs/>
        </w:rPr>
        <w:t>recommend</w:t>
      </w:r>
      <w:r w:rsidR="000A4249">
        <w:rPr>
          <w:rFonts w:cstheme="minorHAnsi"/>
          <w:bCs/>
        </w:rPr>
        <w:t>ations</w:t>
      </w:r>
      <w:r>
        <w:rPr>
          <w:rFonts w:cstheme="minorHAnsi"/>
          <w:bCs/>
        </w:rPr>
        <w:t xml:space="preserve"> </w:t>
      </w:r>
      <w:r w:rsidR="000A4249">
        <w:rPr>
          <w:rFonts w:cstheme="minorHAnsi"/>
          <w:bCs/>
        </w:rPr>
        <w:t xml:space="preserve">on </w:t>
      </w:r>
      <w:r>
        <w:rPr>
          <w:rFonts w:cstheme="minorHAnsi"/>
          <w:bCs/>
        </w:rPr>
        <w:t>them to the Meeting of the Contracting Parties to the Bonn Agreement.</w:t>
      </w:r>
    </w:p>
    <w:p w14:paraId="42FAA278" w14:textId="77777777" w:rsidR="00520824" w:rsidRPr="00C5573B" w:rsidRDefault="00520824" w:rsidP="00520824">
      <w:pPr>
        <w:keepNext/>
        <w:spacing w:before="240"/>
        <w:rPr>
          <w:rFonts w:cstheme="minorHAnsi"/>
          <w:b/>
        </w:rPr>
      </w:pPr>
      <w:r w:rsidRPr="00C5573B">
        <w:rPr>
          <w:rFonts w:cstheme="minorHAnsi"/>
          <w:b/>
        </w:rPr>
        <w:t>Participants</w:t>
      </w:r>
    </w:p>
    <w:p w14:paraId="0BDB2080" w14:textId="1139BD74" w:rsidR="00AA2B07" w:rsidRPr="003C16C9" w:rsidRDefault="00AA2B07" w:rsidP="00520824">
      <w:pPr>
        <w:numPr>
          <w:ilvl w:val="0"/>
          <w:numId w:val="14"/>
        </w:numPr>
        <w:tabs>
          <w:tab w:val="left" w:pos="567"/>
        </w:tabs>
        <w:spacing w:before="120" w:after="0" w:line="280" w:lineRule="atLeast"/>
        <w:ind w:left="0" w:firstLine="0"/>
        <w:jc w:val="both"/>
      </w:pPr>
      <w:r w:rsidRPr="003C16C9">
        <w:t>OTSOPA delegates include experts on o</w:t>
      </w:r>
      <w:r>
        <w:t xml:space="preserve">perational, technical and scientific issues </w:t>
      </w:r>
      <w:r w:rsidRPr="003C16C9">
        <w:t xml:space="preserve">from the Contracting Parties. A Head of delegation shall be appointed by the Contracting </w:t>
      </w:r>
      <w:r w:rsidR="00462045" w:rsidRPr="003C16C9">
        <w:t>P</w:t>
      </w:r>
      <w:r w:rsidRPr="003C16C9">
        <w:t>arty to act as the primary contact point.</w:t>
      </w:r>
    </w:p>
    <w:p w14:paraId="53385560" w14:textId="184707A6" w:rsidR="007657C9" w:rsidRDefault="004C1E24" w:rsidP="00520824">
      <w:pPr>
        <w:numPr>
          <w:ilvl w:val="0"/>
          <w:numId w:val="14"/>
        </w:numPr>
        <w:tabs>
          <w:tab w:val="left" w:pos="567"/>
        </w:tabs>
        <w:spacing w:before="120" w:after="0" w:line="280" w:lineRule="atLeast"/>
        <w:ind w:left="0" w:firstLine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Intergovernmental and non-governmental organisations that </w:t>
      </w:r>
      <w:r>
        <w:t xml:space="preserve">contribute substantially to the aims and objectives of the Bonn Agreement and that have been granted with the observer status </w:t>
      </w:r>
      <w:r w:rsidR="003C16C9">
        <w:t xml:space="preserve">are invited to </w:t>
      </w:r>
      <w:r>
        <w:t>participate in the OTSOPA meetings.</w:t>
      </w:r>
    </w:p>
    <w:p w14:paraId="2961F322" w14:textId="57A141F8" w:rsidR="003C16C9" w:rsidRPr="003C16C9" w:rsidRDefault="003C16C9" w:rsidP="003C16C9">
      <w:pPr>
        <w:numPr>
          <w:ilvl w:val="0"/>
          <w:numId w:val="14"/>
        </w:numPr>
        <w:tabs>
          <w:tab w:val="left" w:pos="567"/>
        </w:tabs>
        <w:spacing w:before="120" w:after="0" w:line="280" w:lineRule="atLeast"/>
        <w:ind w:left="0" w:firstLine="0"/>
        <w:jc w:val="both"/>
      </w:pPr>
      <w:r w:rsidRPr="003C16C9">
        <w:lastRenderedPageBreak/>
        <w:t xml:space="preserve">The Presidency of OTSOPA shall rotate </w:t>
      </w:r>
      <w:r w:rsidR="000A4249">
        <w:t xml:space="preserve">every </w:t>
      </w:r>
      <w:r w:rsidRPr="003C16C9">
        <w:t xml:space="preserve"> two years among the Contracting Parties in English alphabetical order. A Contracting Party whose turn for election to the Presidency falls due may reserve the right to decline its election. The Chairperson shall act in a neutral capacity and not as a delegate of that Contracting Party.</w:t>
      </w:r>
    </w:p>
    <w:p w14:paraId="6937B1DC" w14:textId="1712AD44" w:rsidR="002730EB" w:rsidRDefault="00AA2B07" w:rsidP="00462045">
      <w:pPr>
        <w:numPr>
          <w:ilvl w:val="0"/>
          <w:numId w:val="14"/>
        </w:numPr>
        <w:tabs>
          <w:tab w:val="left" w:pos="567"/>
        </w:tabs>
        <w:spacing w:before="120" w:after="0" w:line="280" w:lineRule="atLeast"/>
        <w:ind w:left="0" w:firstLine="0"/>
        <w:jc w:val="both"/>
        <w:rPr>
          <w:rFonts w:cstheme="minorHAnsi"/>
          <w:bCs/>
        </w:rPr>
      </w:pPr>
      <w:r w:rsidRPr="00837DBE">
        <w:rPr>
          <w:rFonts w:cstheme="minorHAnsi"/>
          <w:bCs/>
        </w:rPr>
        <w:t xml:space="preserve">The </w:t>
      </w:r>
      <w:r w:rsidR="00837DBE" w:rsidRPr="00837DBE">
        <w:rPr>
          <w:rFonts w:cstheme="minorHAnsi"/>
          <w:bCs/>
        </w:rPr>
        <w:t>Chairperson</w:t>
      </w:r>
      <w:r w:rsidRPr="00837DBE">
        <w:rPr>
          <w:rFonts w:cstheme="minorHAnsi"/>
          <w:bCs/>
        </w:rPr>
        <w:t xml:space="preserve"> shall</w:t>
      </w:r>
      <w:r w:rsidR="002730EB">
        <w:rPr>
          <w:rFonts w:cstheme="minorHAnsi"/>
          <w:bCs/>
        </w:rPr>
        <w:t xml:space="preserve"> carry out the following functions:</w:t>
      </w:r>
    </w:p>
    <w:p w14:paraId="6313528A" w14:textId="77777777" w:rsidR="002730EB" w:rsidRDefault="00AA2B07" w:rsidP="002730EB">
      <w:pPr>
        <w:numPr>
          <w:ilvl w:val="0"/>
          <w:numId w:val="17"/>
        </w:numPr>
        <w:tabs>
          <w:tab w:val="left" w:pos="567"/>
        </w:tabs>
        <w:spacing w:before="120" w:after="0" w:line="280" w:lineRule="atLeast"/>
        <w:ind w:left="1134" w:hanging="567"/>
        <w:jc w:val="both"/>
      </w:pPr>
      <w:r w:rsidRPr="002730EB">
        <w:t>preside over</w:t>
      </w:r>
      <w:r w:rsidR="003C16C9" w:rsidRPr="002730EB">
        <w:t xml:space="preserve"> the OTSOPA meeting</w:t>
      </w:r>
      <w:r w:rsidR="002730EB">
        <w:t>;</w:t>
      </w:r>
    </w:p>
    <w:p w14:paraId="6D8BAFA3" w14:textId="606CB0AB" w:rsidR="002730EB" w:rsidRDefault="00AA2B07" w:rsidP="002730EB">
      <w:pPr>
        <w:numPr>
          <w:ilvl w:val="0"/>
          <w:numId w:val="17"/>
        </w:numPr>
        <w:tabs>
          <w:tab w:val="left" w:pos="567"/>
        </w:tabs>
        <w:spacing w:before="120" w:after="0" w:line="280" w:lineRule="atLeast"/>
        <w:ind w:left="1134" w:hanging="567"/>
        <w:jc w:val="both"/>
      </w:pPr>
      <w:r w:rsidRPr="002730EB">
        <w:t xml:space="preserve">carry out any duties entrusted to </w:t>
      </w:r>
      <w:r w:rsidR="000A4249">
        <w:t>the Chair</w:t>
      </w:r>
      <w:r w:rsidR="000A4249" w:rsidRPr="002730EB">
        <w:t xml:space="preserve"> </w:t>
      </w:r>
      <w:r w:rsidRPr="002730EB">
        <w:t xml:space="preserve">by </w:t>
      </w:r>
      <w:r w:rsidR="003C16C9" w:rsidRPr="002730EB">
        <w:t>OTSOPA</w:t>
      </w:r>
      <w:r w:rsidR="002730EB">
        <w:t>;</w:t>
      </w:r>
    </w:p>
    <w:p w14:paraId="62E4C6E1" w14:textId="77777777" w:rsidR="002730EB" w:rsidRDefault="00AA2B07" w:rsidP="002730EB">
      <w:pPr>
        <w:numPr>
          <w:ilvl w:val="0"/>
          <w:numId w:val="17"/>
        </w:numPr>
        <w:tabs>
          <w:tab w:val="left" w:pos="567"/>
        </w:tabs>
        <w:spacing w:before="120" w:after="0" w:line="280" w:lineRule="atLeast"/>
        <w:ind w:left="1134" w:hanging="567"/>
        <w:jc w:val="both"/>
      </w:pPr>
      <w:r w:rsidRPr="002730EB">
        <w:t xml:space="preserve">take initiatives and put forward proposals to </w:t>
      </w:r>
      <w:r w:rsidR="003C16C9" w:rsidRPr="002730EB">
        <w:t>OTSOPA</w:t>
      </w:r>
      <w:r w:rsidR="002730EB">
        <w:t>;</w:t>
      </w:r>
    </w:p>
    <w:p w14:paraId="66524E8B" w14:textId="6B6AEC3C" w:rsidR="00AA2B07" w:rsidRDefault="003C16C9" w:rsidP="002730EB">
      <w:pPr>
        <w:numPr>
          <w:ilvl w:val="0"/>
          <w:numId w:val="17"/>
        </w:numPr>
        <w:tabs>
          <w:tab w:val="left" w:pos="567"/>
        </w:tabs>
        <w:spacing w:before="120" w:after="0" w:line="280" w:lineRule="atLeast"/>
        <w:ind w:left="1134" w:hanging="567"/>
        <w:jc w:val="both"/>
      </w:pPr>
      <w:r w:rsidRPr="002730EB">
        <w:t>represent the Bonn Agreement at the Inter-Secretariat meetings or any other relevant event in coordination with the Chair of the Bonn Agreement</w:t>
      </w:r>
      <w:r w:rsidR="002730EB">
        <w:t>; and</w:t>
      </w:r>
    </w:p>
    <w:p w14:paraId="0C869672" w14:textId="26CF17AD" w:rsidR="002730EB" w:rsidRPr="002730EB" w:rsidRDefault="002730EB" w:rsidP="002730EB">
      <w:pPr>
        <w:numPr>
          <w:ilvl w:val="0"/>
          <w:numId w:val="17"/>
        </w:numPr>
        <w:tabs>
          <w:tab w:val="left" w:pos="567"/>
        </w:tabs>
        <w:spacing w:before="120" w:after="0" w:line="280" w:lineRule="atLeast"/>
        <w:ind w:left="1134" w:hanging="567"/>
        <w:jc w:val="both"/>
      </w:pPr>
      <w:r>
        <w:t>approve letters of support to project proposals together with the Chair of the Bonn Agreement.</w:t>
      </w:r>
    </w:p>
    <w:p w14:paraId="6C4AAF6B" w14:textId="77777777" w:rsidR="001F6F18" w:rsidRPr="001F6F18" w:rsidRDefault="001F6F18" w:rsidP="00520824">
      <w:pPr>
        <w:keepNext/>
        <w:spacing w:before="240"/>
        <w:rPr>
          <w:rFonts w:cstheme="minorHAnsi"/>
          <w:b/>
        </w:rPr>
      </w:pPr>
      <w:r w:rsidRPr="001F6F18">
        <w:rPr>
          <w:rFonts w:cstheme="minorHAnsi"/>
          <w:b/>
        </w:rPr>
        <w:t xml:space="preserve">Operation and organisation of work </w:t>
      </w:r>
    </w:p>
    <w:p w14:paraId="60FEC629" w14:textId="095C1454" w:rsidR="001F6F18" w:rsidRDefault="001F6F18" w:rsidP="004C1E24">
      <w:pPr>
        <w:numPr>
          <w:ilvl w:val="0"/>
          <w:numId w:val="14"/>
        </w:numPr>
        <w:tabs>
          <w:tab w:val="left" w:pos="567"/>
        </w:tabs>
        <w:spacing w:before="120" w:after="0" w:line="280" w:lineRule="atLeast"/>
        <w:ind w:left="0" w:firstLine="0"/>
        <w:jc w:val="both"/>
        <w:rPr>
          <w:rFonts w:cstheme="minorHAnsi"/>
          <w:bCs/>
        </w:rPr>
      </w:pPr>
      <w:r>
        <w:rPr>
          <w:rFonts w:cstheme="minorHAnsi"/>
          <w:bCs/>
        </w:rPr>
        <w:t>OTSOPA</w:t>
      </w:r>
      <w:r w:rsidR="00901034">
        <w:rPr>
          <w:rFonts w:cstheme="minorHAnsi"/>
          <w:bCs/>
        </w:rPr>
        <w:t xml:space="preserve"> </w:t>
      </w:r>
      <w:r w:rsidRPr="001F6F18">
        <w:rPr>
          <w:rFonts w:cstheme="minorHAnsi"/>
          <w:bCs/>
        </w:rPr>
        <w:t>hold</w:t>
      </w:r>
      <w:r w:rsidR="003C16C9">
        <w:rPr>
          <w:rFonts w:cstheme="minorHAnsi"/>
          <w:bCs/>
        </w:rPr>
        <w:t>s</w:t>
      </w:r>
      <w:r w:rsidRPr="001F6F18">
        <w:rPr>
          <w:rFonts w:cstheme="minorHAnsi"/>
          <w:bCs/>
        </w:rPr>
        <w:t xml:space="preserve"> at least one annual meeting.</w:t>
      </w:r>
    </w:p>
    <w:p w14:paraId="1564E7B8" w14:textId="77777777" w:rsidR="001666C3" w:rsidRDefault="001666C3" w:rsidP="001666C3">
      <w:pPr>
        <w:numPr>
          <w:ilvl w:val="0"/>
          <w:numId w:val="14"/>
        </w:numPr>
        <w:tabs>
          <w:tab w:val="left" w:pos="567"/>
        </w:tabs>
        <w:spacing w:before="120" w:after="0" w:line="280" w:lineRule="atLeast"/>
        <w:ind w:left="0" w:firstLine="0"/>
        <w:jc w:val="both"/>
        <w:rPr>
          <w:rFonts w:cstheme="minorHAnsi"/>
          <w:bCs/>
        </w:rPr>
      </w:pPr>
      <w:r>
        <w:rPr>
          <w:rFonts w:cstheme="minorHAnsi"/>
          <w:bCs/>
        </w:rPr>
        <w:t>OTSOPA reports annually to the Bonn Agreement</w:t>
      </w:r>
      <w:r w:rsidRPr="001F6F18">
        <w:rPr>
          <w:rFonts w:cstheme="minorHAnsi"/>
          <w:bCs/>
        </w:rPr>
        <w:t>.</w:t>
      </w:r>
    </w:p>
    <w:p w14:paraId="15DFB10A" w14:textId="0085A8B4" w:rsidR="007657C9" w:rsidRDefault="007657C9" w:rsidP="004C1E24">
      <w:pPr>
        <w:numPr>
          <w:ilvl w:val="0"/>
          <w:numId w:val="14"/>
        </w:numPr>
        <w:tabs>
          <w:tab w:val="left" w:pos="567"/>
        </w:tabs>
        <w:spacing w:before="120" w:after="0" w:line="280" w:lineRule="atLeast"/>
        <w:ind w:left="0" w:firstLine="0"/>
        <w:jc w:val="both"/>
        <w:rPr>
          <w:rFonts w:cstheme="minorHAnsi"/>
          <w:bCs/>
        </w:rPr>
      </w:pPr>
      <w:r>
        <w:rPr>
          <w:rFonts w:cstheme="minorHAnsi"/>
          <w:bCs/>
        </w:rPr>
        <w:t>OTOSPA</w:t>
      </w:r>
      <w:r w:rsidRPr="001F6F18">
        <w:rPr>
          <w:rFonts w:cstheme="minorHAnsi"/>
          <w:bCs/>
        </w:rPr>
        <w:t xml:space="preserve"> </w:t>
      </w:r>
      <w:r w:rsidR="004C1E24">
        <w:rPr>
          <w:rFonts w:cstheme="minorHAnsi"/>
          <w:bCs/>
        </w:rPr>
        <w:t>updates its</w:t>
      </w:r>
      <w:r w:rsidR="001666C3">
        <w:rPr>
          <w:rFonts w:cstheme="minorHAnsi"/>
          <w:bCs/>
        </w:rPr>
        <w:t xml:space="preserve"> annual</w:t>
      </w:r>
      <w:r w:rsidRPr="001F6F18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Programme of Work </w:t>
      </w:r>
      <w:r w:rsidR="004C1E24">
        <w:rPr>
          <w:rFonts w:cstheme="minorHAnsi"/>
          <w:bCs/>
        </w:rPr>
        <w:t>for adoption</w:t>
      </w:r>
      <w:r>
        <w:rPr>
          <w:rFonts w:cstheme="minorHAnsi"/>
          <w:bCs/>
        </w:rPr>
        <w:t xml:space="preserve"> by the meeting of the Contracting Parties</w:t>
      </w:r>
      <w:r w:rsidR="004C1E24">
        <w:rPr>
          <w:rFonts w:cstheme="minorHAnsi"/>
          <w:bCs/>
        </w:rPr>
        <w:t xml:space="preserve"> to the Bonn Agreement</w:t>
      </w:r>
      <w:r w:rsidRPr="001F6F18">
        <w:rPr>
          <w:rFonts w:cstheme="minorHAnsi"/>
          <w:bCs/>
        </w:rPr>
        <w:t>.</w:t>
      </w:r>
    </w:p>
    <w:p w14:paraId="2C71E034" w14:textId="77777777" w:rsidR="001F6F18" w:rsidRDefault="001F6F18" w:rsidP="004C1E24">
      <w:pPr>
        <w:numPr>
          <w:ilvl w:val="0"/>
          <w:numId w:val="14"/>
        </w:numPr>
        <w:tabs>
          <w:tab w:val="left" w:pos="567"/>
        </w:tabs>
        <w:spacing w:before="120" w:after="0" w:line="280" w:lineRule="atLeast"/>
        <w:ind w:left="0" w:firstLine="0"/>
        <w:jc w:val="both"/>
        <w:rPr>
          <w:rFonts w:cstheme="minorHAnsi"/>
          <w:bCs/>
        </w:rPr>
      </w:pPr>
      <w:r>
        <w:rPr>
          <w:rFonts w:cstheme="minorHAnsi"/>
          <w:bCs/>
        </w:rPr>
        <w:t>OTOSPA</w:t>
      </w:r>
      <w:r w:rsidRPr="001F6F18">
        <w:rPr>
          <w:rFonts w:cstheme="minorHAnsi"/>
          <w:bCs/>
        </w:rPr>
        <w:t xml:space="preserve"> maintains a List of Actions for small and short-term tasks to be completed within a meeting cycle. </w:t>
      </w:r>
    </w:p>
    <w:p w14:paraId="3ACB9D21" w14:textId="503D623B" w:rsidR="001666C3" w:rsidRDefault="000962F1" w:rsidP="004C1E24">
      <w:pPr>
        <w:numPr>
          <w:ilvl w:val="0"/>
          <w:numId w:val="14"/>
        </w:numPr>
        <w:tabs>
          <w:tab w:val="left" w:pos="567"/>
        </w:tabs>
        <w:spacing w:before="120" w:after="0" w:line="280" w:lineRule="atLeast"/>
        <w:ind w:left="0" w:firstLine="0"/>
        <w:jc w:val="both"/>
        <w:rPr>
          <w:rFonts w:cstheme="minorHAnsi"/>
          <w:bCs/>
        </w:rPr>
      </w:pPr>
      <w:r w:rsidRPr="004C1E24">
        <w:rPr>
          <w:rFonts w:cstheme="minorHAnsi"/>
          <w:bCs/>
        </w:rPr>
        <w:t xml:space="preserve">OTSOPA </w:t>
      </w:r>
      <w:r w:rsidR="00FB4A11">
        <w:rPr>
          <w:rFonts w:cstheme="minorHAnsi"/>
          <w:bCs/>
        </w:rPr>
        <w:t>assists</w:t>
      </w:r>
      <w:r w:rsidR="00FB4A11" w:rsidRPr="004C1E24">
        <w:rPr>
          <w:rFonts w:cstheme="minorHAnsi"/>
          <w:bCs/>
        </w:rPr>
        <w:t xml:space="preserve"> </w:t>
      </w:r>
      <w:r w:rsidR="00FB4A11">
        <w:rPr>
          <w:rFonts w:cstheme="minorHAnsi"/>
          <w:bCs/>
        </w:rPr>
        <w:t xml:space="preserve">with </w:t>
      </w:r>
      <w:r w:rsidRPr="004C1E24">
        <w:rPr>
          <w:rFonts w:cstheme="minorHAnsi"/>
          <w:bCs/>
        </w:rPr>
        <w:t>the</w:t>
      </w:r>
      <w:r w:rsidR="000A4DFD">
        <w:rPr>
          <w:rFonts w:cstheme="minorHAnsi"/>
          <w:bCs/>
        </w:rPr>
        <w:t xml:space="preserve"> establishment of </w:t>
      </w:r>
      <w:r>
        <w:rPr>
          <w:rFonts w:cstheme="minorHAnsi"/>
          <w:bCs/>
        </w:rPr>
        <w:t>Working Groups</w:t>
      </w:r>
      <w:r w:rsidR="001666C3">
        <w:rPr>
          <w:rFonts w:cstheme="minorHAnsi"/>
          <w:bCs/>
        </w:rPr>
        <w:t xml:space="preserve"> and networks</w:t>
      </w:r>
      <w:r w:rsidR="000A4DFD">
        <w:rPr>
          <w:rFonts w:cstheme="minorHAnsi"/>
          <w:bCs/>
        </w:rPr>
        <w:t xml:space="preserve"> to fulfil its aim</w:t>
      </w:r>
      <w:r>
        <w:rPr>
          <w:rFonts w:cstheme="minorHAnsi"/>
          <w:bCs/>
        </w:rPr>
        <w:t xml:space="preserve">, </w:t>
      </w:r>
      <w:r w:rsidR="000A4DFD">
        <w:rPr>
          <w:rFonts w:cstheme="minorHAnsi"/>
          <w:bCs/>
        </w:rPr>
        <w:t>including</w:t>
      </w:r>
      <w:r w:rsidR="001666C3">
        <w:rPr>
          <w:rFonts w:cstheme="minorHAnsi"/>
          <w:bCs/>
        </w:rPr>
        <w:t>:</w:t>
      </w:r>
    </w:p>
    <w:p w14:paraId="43FBF4F7" w14:textId="0ECCD493" w:rsidR="000962F1" w:rsidRDefault="000962F1" w:rsidP="003008FD">
      <w:pPr>
        <w:numPr>
          <w:ilvl w:val="0"/>
          <w:numId w:val="19"/>
        </w:numPr>
        <w:tabs>
          <w:tab w:val="left" w:pos="567"/>
        </w:tabs>
        <w:spacing w:before="120" w:after="0" w:line="280" w:lineRule="atLeast"/>
        <w:ind w:left="1134" w:hanging="567"/>
        <w:jc w:val="both"/>
      </w:pPr>
      <w:r w:rsidRPr="001666C3">
        <w:t>the Working Group</w:t>
      </w:r>
      <w:r w:rsidR="001666C3" w:rsidRPr="001666C3">
        <w:t>s MAVI-SOWG</w:t>
      </w:r>
      <w:r w:rsidR="00837DBE">
        <w:rPr>
          <w:rStyle w:val="FootnoteReference"/>
        </w:rPr>
        <w:footnoteReference w:id="1"/>
      </w:r>
      <w:r w:rsidR="001666C3" w:rsidRPr="001666C3">
        <w:t xml:space="preserve"> </w:t>
      </w:r>
      <w:r w:rsidR="001666C3">
        <w:t xml:space="preserve">and </w:t>
      </w:r>
      <w:r w:rsidR="001666C3" w:rsidRPr="001666C3">
        <w:t>MAVI-TWG</w:t>
      </w:r>
      <w:r w:rsidR="00837DBE">
        <w:rPr>
          <w:rStyle w:val="FootnoteReference"/>
        </w:rPr>
        <w:footnoteReference w:id="2"/>
      </w:r>
      <w:r w:rsidR="001666C3" w:rsidRPr="001666C3">
        <w:t xml:space="preserve"> </w:t>
      </w:r>
      <w:r w:rsidR="001666C3">
        <w:t xml:space="preserve">in relation to </w:t>
      </w:r>
      <w:r w:rsidR="001666C3" w:rsidRPr="001666C3">
        <w:t>MARPOL Annex VI monitoring activities</w:t>
      </w:r>
      <w:r w:rsidR="00837DBE">
        <w:t xml:space="preserve"> regarding </w:t>
      </w:r>
      <w:r w:rsidRPr="001666C3">
        <w:t>strategic</w:t>
      </w:r>
      <w:r w:rsidR="00837DBE">
        <w:t>,</w:t>
      </w:r>
      <w:r w:rsidRPr="001666C3">
        <w:t xml:space="preserve"> operational </w:t>
      </w:r>
      <w:r w:rsidR="001666C3" w:rsidRPr="001666C3">
        <w:t xml:space="preserve">and technical </w:t>
      </w:r>
      <w:r w:rsidR="00837DBE">
        <w:t>aspects</w:t>
      </w:r>
      <w:r w:rsidR="001666C3">
        <w:t>;</w:t>
      </w:r>
      <w:r w:rsidR="000A4249">
        <w:t xml:space="preserve"> and</w:t>
      </w:r>
    </w:p>
    <w:p w14:paraId="42D94545" w14:textId="742A8172" w:rsidR="001666C3" w:rsidRPr="001666C3" w:rsidRDefault="001666C3" w:rsidP="003008FD">
      <w:pPr>
        <w:numPr>
          <w:ilvl w:val="0"/>
          <w:numId w:val="19"/>
        </w:numPr>
        <w:tabs>
          <w:tab w:val="left" w:pos="567"/>
        </w:tabs>
        <w:spacing w:before="120" w:after="0" w:line="280" w:lineRule="atLeast"/>
        <w:ind w:left="1134" w:hanging="567"/>
        <w:jc w:val="both"/>
      </w:pPr>
      <w:r>
        <w:t xml:space="preserve">the Oil Spill Identification Network (OSINet) in relation to </w:t>
      </w:r>
      <w:r w:rsidR="00837DBE" w:rsidRPr="003008FD">
        <w:t xml:space="preserve">proving the origin of marine pollution by oil and oil products and using this </w:t>
      </w:r>
      <w:r w:rsidR="00837DBE" w:rsidRPr="00C5573B">
        <w:t>evidence</w:t>
      </w:r>
      <w:r w:rsidR="00837DBE" w:rsidRPr="003008FD">
        <w:t xml:space="preserve"> for the reimbursement of the cost of response operations, </w:t>
      </w:r>
      <w:r w:rsidR="00837DBE" w:rsidRPr="00C5573B">
        <w:t>compensation for environmental damage etc.</w:t>
      </w:r>
      <w:r w:rsidR="00837DBE" w:rsidRPr="003008FD">
        <w:t xml:space="preserve"> under governmental claims.</w:t>
      </w:r>
    </w:p>
    <w:p w14:paraId="04766752" w14:textId="5DC61279" w:rsidR="001F6F18" w:rsidRPr="004C1E24" w:rsidRDefault="004C1E24" w:rsidP="00F71617">
      <w:pPr>
        <w:numPr>
          <w:ilvl w:val="0"/>
          <w:numId w:val="14"/>
        </w:numPr>
        <w:tabs>
          <w:tab w:val="left" w:pos="567"/>
        </w:tabs>
        <w:spacing w:before="120" w:after="0" w:line="280" w:lineRule="atLeast"/>
        <w:ind w:left="0" w:firstLine="0"/>
        <w:jc w:val="both"/>
        <w:rPr>
          <w:rFonts w:cstheme="minorHAnsi"/>
          <w:bCs/>
        </w:rPr>
      </w:pPr>
      <w:r w:rsidRPr="004C1E24">
        <w:rPr>
          <w:rFonts w:cstheme="minorHAnsi"/>
          <w:bCs/>
        </w:rPr>
        <w:t xml:space="preserve">Under the Memorandum of Understanding between the OSPAR Commission and the Bonn Agreement, </w:t>
      </w:r>
      <w:r w:rsidR="001F6F18" w:rsidRPr="004C1E24">
        <w:rPr>
          <w:rFonts w:cstheme="minorHAnsi"/>
          <w:bCs/>
        </w:rPr>
        <w:t>OTSOPA ensures there is exchange of</w:t>
      </w:r>
      <w:r w:rsidR="001666C3">
        <w:rPr>
          <w:rFonts w:cstheme="minorHAnsi"/>
          <w:bCs/>
        </w:rPr>
        <w:t xml:space="preserve"> technical and scientific</w:t>
      </w:r>
      <w:r w:rsidR="001F6F18" w:rsidRPr="004C1E24">
        <w:rPr>
          <w:rFonts w:cstheme="minorHAnsi"/>
          <w:bCs/>
        </w:rPr>
        <w:t xml:space="preserve"> information in both directions with </w:t>
      </w:r>
      <w:r w:rsidRPr="004C1E24">
        <w:rPr>
          <w:rFonts w:cstheme="minorHAnsi"/>
          <w:bCs/>
        </w:rPr>
        <w:t xml:space="preserve">the relevant </w:t>
      </w:r>
      <w:r w:rsidR="001F6F18" w:rsidRPr="004C1E24">
        <w:rPr>
          <w:rFonts w:cstheme="minorHAnsi"/>
          <w:bCs/>
        </w:rPr>
        <w:t xml:space="preserve">OSPAR </w:t>
      </w:r>
      <w:r w:rsidRPr="004C1E24">
        <w:rPr>
          <w:rFonts w:cstheme="minorHAnsi"/>
          <w:bCs/>
        </w:rPr>
        <w:t xml:space="preserve">Commission subsidiary bodies, </w:t>
      </w:r>
      <w:r w:rsidR="001F6F18" w:rsidRPr="004C1E24">
        <w:rPr>
          <w:rFonts w:cstheme="minorHAnsi"/>
          <w:bCs/>
        </w:rPr>
        <w:t>but specifically:</w:t>
      </w:r>
    </w:p>
    <w:p w14:paraId="7935B09E" w14:textId="0297AAF3" w:rsidR="00CD197A" w:rsidRPr="00CD197A" w:rsidRDefault="001F6F18" w:rsidP="001666C3">
      <w:pPr>
        <w:numPr>
          <w:ilvl w:val="0"/>
          <w:numId w:val="18"/>
        </w:numPr>
        <w:tabs>
          <w:tab w:val="left" w:pos="567"/>
        </w:tabs>
        <w:spacing w:before="120" w:after="0" w:line="280" w:lineRule="atLeast"/>
        <w:ind w:left="1134" w:hanging="567"/>
        <w:jc w:val="both"/>
      </w:pPr>
      <w:r w:rsidRPr="00CD197A">
        <w:t xml:space="preserve">with </w:t>
      </w:r>
      <w:r w:rsidR="004C1E24" w:rsidRPr="00CD197A">
        <w:t xml:space="preserve">the Offshore Industry Committee (OIC) </w:t>
      </w:r>
      <w:r w:rsidRPr="00CD197A">
        <w:t xml:space="preserve">in respect of </w:t>
      </w:r>
      <w:r w:rsidR="000962F1">
        <w:t xml:space="preserve">prevention of and response to </w:t>
      </w:r>
      <w:r w:rsidR="00CD197A">
        <w:t>pollution by oil from offshore installations</w:t>
      </w:r>
      <w:r w:rsidR="00CD197A" w:rsidRPr="00CD197A">
        <w:t>;</w:t>
      </w:r>
    </w:p>
    <w:p w14:paraId="4F097D06" w14:textId="1639D099" w:rsidR="00CD197A" w:rsidRPr="00CD197A" w:rsidRDefault="00CD197A" w:rsidP="001666C3">
      <w:pPr>
        <w:numPr>
          <w:ilvl w:val="0"/>
          <w:numId w:val="18"/>
        </w:numPr>
        <w:tabs>
          <w:tab w:val="left" w:pos="567"/>
        </w:tabs>
        <w:spacing w:before="120" w:after="0" w:line="280" w:lineRule="atLeast"/>
        <w:ind w:left="1134" w:hanging="567"/>
        <w:jc w:val="both"/>
      </w:pPr>
      <w:r w:rsidRPr="00CD197A">
        <w:t xml:space="preserve">with the Hazardous Substances Committee (HASEC) in respect of </w:t>
      </w:r>
      <w:r w:rsidR="001F6F18" w:rsidRPr="00CD197A">
        <w:t>prevention of pollution by hazardous substances according to MARPOL Annexes I and II;</w:t>
      </w:r>
      <w:r w:rsidRPr="00CD197A">
        <w:t xml:space="preserve"> </w:t>
      </w:r>
      <w:r w:rsidR="000A4249">
        <w:t>and</w:t>
      </w:r>
    </w:p>
    <w:p w14:paraId="75EC0F43" w14:textId="49EEB322" w:rsidR="00CD197A" w:rsidRPr="00CD197A" w:rsidRDefault="00CD197A" w:rsidP="001666C3">
      <w:pPr>
        <w:numPr>
          <w:ilvl w:val="0"/>
          <w:numId w:val="18"/>
        </w:numPr>
        <w:tabs>
          <w:tab w:val="left" w:pos="567"/>
        </w:tabs>
        <w:spacing w:before="120" w:after="0" w:line="280" w:lineRule="atLeast"/>
        <w:ind w:left="1134" w:hanging="567"/>
        <w:jc w:val="both"/>
      </w:pPr>
      <w:r>
        <w:t xml:space="preserve">with the North Sea Network of Investigators and Prosecutors (NSN) in respect of </w:t>
      </w:r>
      <w:r w:rsidR="000962F1">
        <w:t xml:space="preserve">the enforcement of pollution maritime offences. </w:t>
      </w:r>
    </w:p>
    <w:p w14:paraId="75F3CA34" w14:textId="6FAF97EA" w:rsidR="00901034" w:rsidRDefault="00901034" w:rsidP="0001639A">
      <w:pPr>
        <w:numPr>
          <w:ilvl w:val="0"/>
          <w:numId w:val="14"/>
        </w:numPr>
        <w:tabs>
          <w:tab w:val="left" w:pos="567"/>
        </w:tabs>
        <w:spacing w:before="120" w:after="0" w:line="280" w:lineRule="exact"/>
        <w:ind w:left="0" w:firstLine="0"/>
        <w:jc w:val="both"/>
      </w:pPr>
      <w:r w:rsidRPr="001666C3">
        <w:rPr>
          <w:rFonts w:cstheme="minorHAnsi"/>
          <w:bCs/>
        </w:rPr>
        <w:lastRenderedPageBreak/>
        <w:t>Existing Intersessional Correspondence Groups (ICGs)</w:t>
      </w:r>
      <w:r w:rsidR="00837DBE">
        <w:rPr>
          <w:rFonts w:cstheme="minorHAnsi"/>
          <w:bCs/>
        </w:rPr>
        <w:t xml:space="preserve"> such as the Surveillance Expert Assessment Panel or the ICG on regional Priorities</w:t>
      </w:r>
      <w:r w:rsidRPr="001666C3">
        <w:rPr>
          <w:rFonts w:cstheme="minorHAnsi"/>
          <w:bCs/>
        </w:rPr>
        <w:t xml:space="preserve">, and where necessary new ICGs, will focus on supporting implementation of the </w:t>
      </w:r>
      <w:r w:rsidR="001666C3" w:rsidRPr="001666C3">
        <w:rPr>
          <w:rFonts w:cstheme="minorHAnsi"/>
          <w:bCs/>
        </w:rPr>
        <w:t>BASAP</w:t>
      </w:r>
      <w:r w:rsidRPr="001666C3">
        <w:rPr>
          <w:rFonts w:cstheme="minorHAnsi"/>
          <w:bCs/>
        </w:rPr>
        <w:t xml:space="preserve"> and on monitoring and assessment products</w:t>
      </w:r>
      <w:r w:rsidR="001666C3" w:rsidRPr="001666C3">
        <w:rPr>
          <w:rFonts w:cstheme="minorHAnsi"/>
          <w:bCs/>
        </w:rPr>
        <w:t>.</w:t>
      </w:r>
    </w:p>
    <w:p w14:paraId="6FE82174" w14:textId="375844E5" w:rsidR="00901034" w:rsidRPr="007657C9" w:rsidRDefault="00901034" w:rsidP="007657C9">
      <w:pPr>
        <w:keepNext/>
        <w:spacing w:before="240"/>
        <w:rPr>
          <w:rFonts w:cstheme="minorHAnsi"/>
          <w:b/>
        </w:rPr>
      </w:pPr>
      <w:r w:rsidRPr="007657C9">
        <w:rPr>
          <w:rFonts w:cstheme="minorHAnsi"/>
          <w:b/>
        </w:rPr>
        <w:t xml:space="preserve">International engagement </w:t>
      </w:r>
    </w:p>
    <w:p w14:paraId="6AF8DE6B" w14:textId="6565E3F6" w:rsidR="00D67848" w:rsidRDefault="00901034" w:rsidP="00574854">
      <w:pPr>
        <w:numPr>
          <w:ilvl w:val="0"/>
          <w:numId w:val="14"/>
        </w:numPr>
        <w:tabs>
          <w:tab w:val="left" w:pos="567"/>
        </w:tabs>
        <w:spacing w:before="120" w:after="0" w:line="280" w:lineRule="exact"/>
        <w:ind w:left="0" w:firstLine="0"/>
        <w:jc w:val="both"/>
      </w:pPr>
      <w:r w:rsidRPr="00837DBE">
        <w:rPr>
          <w:rFonts w:cstheme="minorHAnsi"/>
          <w:bCs/>
        </w:rPr>
        <w:t>OTSOPA maintains appropriate interaction with other international organisations, when instrumental for the fulfilment of these Terms of Reference. In particular</w:t>
      </w:r>
      <w:r w:rsidR="004C1E24" w:rsidRPr="00837DBE">
        <w:rPr>
          <w:rFonts w:cstheme="minorHAnsi"/>
          <w:bCs/>
        </w:rPr>
        <w:t>, the International Maritime Organization (IMO),</w:t>
      </w:r>
      <w:r w:rsidR="00837DBE" w:rsidRPr="00837DBE">
        <w:rPr>
          <w:rFonts w:cstheme="minorHAnsi"/>
          <w:bCs/>
        </w:rPr>
        <w:t xml:space="preserve"> the</w:t>
      </w:r>
      <w:r w:rsidR="004C1E24" w:rsidRPr="00837DBE">
        <w:rPr>
          <w:rFonts w:cstheme="minorHAnsi"/>
          <w:bCs/>
        </w:rPr>
        <w:t xml:space="preserve"> HELSINKI Commission, </w:t>
      </w:r>
      <w:r w:rsidR="00837DBE" w:rsidRPr="00837DBE">
        <w:rPr>
          <w:rFonts w:cstheme="minorHAnsi"/>
          <w:bCs/>
        </w:rPr>
        <w:t xml:space="preserve">the </w:t>
      </w:r>
      <w:r w:rsidR="004C1E24" w:rsidRPr="00837DBE">
        <w:rPr>
          <w:rFonts w:cstheme="minorHAnsi"/>
          <w:bCs/>
        </w:rPr>
        <w:t xml:space="preserve">Lisbon Agreement, </w:t>
      </w:r>
      <w:r w:rsidR="00837DBE" w:rsidRPr="00837DBE">
        <w:rPr>
          <w:rFonts w:cstheme="minorHAnsi"/>
          <w:bCs/>
        </w:rPr>
        <w:t xml:space="preserve">the </w:t>
      </w:r>
      <w:r w:rsidR="004C1E24" w:rsidRPr="00837DBE">
        <w:rPr>
          <w:rFonts w:cstheme="minorHAnsi"/>
          <w:bCs/>
        </w:rPr>
        <w:t xml:space="preserve">Copenhagen Agreement, </w:t>
      </w:r>
      <w:r w:rsidR="00837DBE" w:rsidRPr="00837DBE">
        <w:rPr>
          <w:rFonts w:cstheme="minorHAnsi"/>
          <w:bCs/>
        </w:rPr>
        <w:t xml:space="preserve">the </w:t>
      </w:r>
      <w:r w:rsidR="004C1E24" w:rsidRPr="00837DBE">
        <w:rPr>
          <w:rFonts w:cstheme="minorHAnsi"/>
          <w:bCs/>
        </w:rPr>
        <w:t xml:space="preserve">Regional Marine Pollution Emergency Response Centre for the Mediterranean Sea (REMPEC), </w:t>
      </w:r>
      <w:r w:rsidR="00837DBE" w:rsidRPr="00837DBE">
        <w:rPr>
          <w:rFonts w:cstheme="minorHAnsi"/>
          <w:bCs/>
        </w:rPr>
        <w:t xml:space="preserve">the </w:t>
      </w:r>
      <w:r w:rsidR="004C1E24" w:rsidRPr="00837DBE">
        <w:rPr>
          <w:rFonts w:cstheme="minorHAnsi"/>
          <w:bCs/>
        </w:rPr>
        <w:t>Organisation for Economic Co-operation and Development (OECD)</w:t>
      </w:r>
      <w:r w:rsidR="00837DBE" w:rsidRPr="00837DBE">
        <w:rPr>
          <w:rFonts w:cstheme="minorHAnsi"/>
          <w:bCs/>
        </w:rPr>
        <w:t xml:space="preserve"> and</w:t>
      </w:r>
      <w:r w:rsidR="004C1E24" w:rsidRPr="00837DBE">
        <w:rPr>
          <w:rFonts w:cstheme="minorHAnsi"/>
          <w:bCs/>
        </w:rPr>
        <w:t xml:space="preserve"> the Arctic Council, with a view to share experience and good practices, and achieve common goals.</w:t>
      </w:r>
    </w:p>
    <w:sectPr w:rsidR="00D67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AFA0" w14:textId="77777777" w:rsidR="006C2153" w:rsidRDefault="006C2153" w:rsidP="006C2153">
      <w:pPr>
        <w:spacing w:after="0" w:line="240" w:lineRule="auto"/>
      </w:pPr>
      <w:r>
        <w:separator/>
      </w:r>
    </w:p>
  </w:endnote>
  <w:endnote w:type="continuationSeparator" w:id="0">
    <w:p w14:paraId="25078D0B" w14:textId="77777777" w:rsidR="006C2153" w:rsidRDefault="006C2153" w:rsidP="006C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D38B" w14:textId="77777777" w:rsidR="002F2307" w:rsidRDefault="002F2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719E" w14:textId="77777777" w:rsidR="005D23D6" w:rsidRDefault="005D23D6" w:rsidP="005D23D6">
    <w:pPr>
      <w:pStyle w:val="Footer"/>
      <w:pBdr>
        <w:bottom w:val="single" w:sz="4" w:space="1" w:color="auto"/>
      </w:pBdr>
      <w:tabs>
        <w:tab w:val="left" w:pos="272"/>
      </w:tabs>
      <w:jc w:val="right"/>
      <w:rPr>
        <w:rStyle w:val="PageNumber"/>
        <w:rFonts w:ascii="Calibri" w:hAnsi="Calibri"/>
        <w:sz w:val="20"/>
        <w:szCs w:val="18"/>
      </w:rPr>
    </w:pPr>
    <w:r w:rsidRPr="00A87231">
      <w:rPr>
        <w:rStyle w:val="PageNumber"/>
        <w:rFonts w:ascii="Calibri" w:hAnsi="Calibri"/>
        <w:sz w:val="20"/>
        <w:szCs w:val="18"/>
      </w:rPr>
      <w:fldChar w:fldCharType="begin"/>
    </w:r>
    <w:r w:rsidRPr="00A87231">
      <w:rPr>
        <w:rStyle w:val="PageNumber"/>
        <w:rFonts w:ascii="Calibri" w:hAnsi="Calibri"/>
        <w:sz w:val="20"/>
        <w:szCs w:val="18"/>
      </w:rPr>
      <w:instrText xml:space="preserve"> PAGE </w:instrText>
    </w:r>
    <w:r w:rsidRPr="00A87231">
      <w:rPr>
        <w:rStyle w:val="PageNumber"/>
        <w:rFonts w:ascii="Calibri" w:hAnsi="Calibri"/>
        <w:sz w:val="20"/>
        <w:szCs w:val="18"/>
      </w:rPr>
      <w:fldChar w:fldCharType="separate"/>
    </w:r>
    <w:r>
      <w:rPr>
        <w:rStyle w:val="PageNumber"/>
        <w:rFonts w:ascii="Calibri" w:hAnsi="Calibri"/>
        <w:sz w:val="20"/>
        <w:szCs w:val="18"/>
      </w:rPr>
      <w:t>1</w:t>
    </w:r>
    <w:r w:rsidRPr="00A87231">
      <w:rPr>
        <w:rStyle w:val="PageNumber"/>
        <w:rFonts w:ascii="Calibri" w:hAnsi="Calibri"/>
        <w:sz w:val="20"/>
        <w:szCs w:val="18"/>
      </w:rPr>
      <w:fldChar w:fldCharType="end"/>
    </w:r>
    <w:r w:rsidRPr="00A87231">
      <w:rPr>
        <w:rStyle w:val="PageNumber"/>
        <w:rFonts w:ascii="Calibri" w:hAnsi="Calibri"/>
        <w:sz w:val="20"/>
        <w:szCs w:val="18"/>
      </w:rPr>
      <w:t xml:space="preserve"> of </w:t>
    </w:r>
    <w:r w:rsidRPr="00A87231">
      <w:rPr>
        <w:rStyle w:val="PageNumber"/>
        <w:rFonts w:ascii="Calibri" w:hAnsi="Calibri"/>
        <w:sz w:val="20"/>
        <w:szCs w:val="18"/>
      </w:rPr>
      <w:fldChar w:fldCharType="begin"/>
    </w:r>
    <w:r w:rsidRPr="00A87231">
      <w:rPr>
        <w:rStyle w:val="PageNumber"/>
        <w:rFonts w:ascii="Calibri" w:hAnsi="Calibri"/>
        <w:sz w:val="20"/>
        <w:szCs w:val="18"/>
      </w:rPr>
      <w:instrText xml:space="preserve"> NUMPAGES </w:instrText>
    </w:r>
    <w:r w:rsidRPr="00A87231">
      <w:rPr>
        <w:rStyle w:val="PageNumber"/>
        <w:rFonts w:ascii="Calibri" w:hAnsi="Calibri"/>
        <w:sz w:val="20"/>
        <w:szCs w:val="18"/>
      </w:rPr>
      <w:fldChar w:fldCharType="separate"/>
    </w:r>
    <w:r>
      <w:rPr>
        <w:rStyle w:val="PageNumber"/>
        <w:rFonts w:ascii="Calibri" w:hAnsi="Calibri"/>
        <w:sz w:val="20"/>
        <w:szCs w:val="18"/>
      </w:rPr>
      <w:t>7</w:t>
    </w:r>
    <w:r w:rsidRPr="00A87231">
      <w:rPr>
        <w:rStyle w:val="PageNumber"/>
        <w:rFonts w:ascii="Calibri" w:hAnsi="Calibri"/>
        <w:sz w:val="20"/>
        <w:szCs w:val="18"/>
      </w:rPr>
      <w:fldChar w:fldCharType="end"/>
    </w:r>
  </w:p>
  <w:p w14:paraId="13CCB3B6" w14:textId="77777777" w:rsidR="005D23D6" w:rsidRPr="00A87231" w:rsidRDefault="005D23D6" w:rsidP="005D23D6">
    <w:pPr>
      <w:pStyle w:val="Footer"/>
      <w:tabs>
        <w:tab w:val="left" w:leader="underscore" w:pos="9639"/>
      </w:tabs>
      <w:rPr>
        <w:rFonts w:ascii="Calibri" w:hAnsi="Calibri"/>
        <w:sz w:val="2"/>
        <w:szCs w:val="18"/>
      </w:rPr>
    </w:pPr>
    <w:r w:rsidRPr="00A87231">
      <w:rPr>
        <w:rStyle w:val="PageNumber"/>
        <w:rFonts w:ascii="Calibri" w:hAnsi="Calibri"/>
        <w:sz w:val="2"/>
        <w:szCs w:val="18"/>
      </w:rPr>
      <w:tab/>
    </w:r>
  </w:p>
  <w:p w14:paraId="29D79803" w14:textId="6ECC4F1F" w:rsidR="005D23D6" w:rsidRPr="005D23D6" w:rsidRDefault="005D23D6" w:rsidP="005D23D6">
    <w:pPr>
      <w:pStyle w:val="Footer"/>
      <w:tabs>
        <w:tab w:val="right" w:pos="9639"/>
      </w:tabs>
      <w:rPr>
        <w:rFonts w:ascii="Calibri" w:hAnsi="Calibri"/>
        <w:sz w:val="20"/>
        <w:szCs w:val="18"/>
      </w:rPr>
    </w:pPr>
    <w:r w:rsidRPr="00A87231">
      <w:rPr>
        <w:rFonts w:ascii="Calibri" w:hAnsi="Calibri"/>
        <w:sz w:val="20"/>
        <w:szCs w:val="18"/>
      </w:rPr>
      <w:t>Bonn Agreement</w:t>
    </w:r>
    <w:r>
      <w:rPr>
        <w:rFonts w:ascii="Calibri" w:hAnsi="Calibri"/>
        <w:sz w:val="20"/>
        <w:szCs w:val="18"/>
      </w:rPr>
      <w:tab/>
    </w:r>
    <w:r>
      <w:rPr>
        <w:rFonts w:ascii="Calibri" w:hAnsi="Calibri"/>
        <w:sz w:val="20"/>
        <w:szCs w:val="18"/>
      </w:rPr>
      <w:tab/>
    </w:r>
    <w:r w:rsidR="002F2307">
      <w:rPr>
        <w:rFonts w:ascii="Calibri" w:hAnsi="Calibri"/>
        <w:sz w:val="20"/>
        <w:szCs w:val="18"/>
      </w:rPr>
      <w:t>November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8075" w14:textId="77777777" w:rsidR="002F2307" w:rsidRDefault="002F2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BA7A" w14:textId="77777777" w:rsidR="006C2153" w:rsidRDefault="006C2153" w:rsidP="006C2153">
      <w:pPr>
        <w:spacing w:after="0" w:line="240" w:lineRule="auto"/>
      </w:pPr>
      <w:r>
        <w:separator/>
      </w:r>
    </w:p>
  </w:footnote>
  <w:footnote w:type="continuationSeparator" w:id="0">
    <w:p w14:paraId="2CF7E7D3" w14:textId="77777777" w:rsidR="006C2153" w:rsidRDefault="006C2153" w:rsidP="006C2153">
      <w:pPr>
        <w:spacing w:after="0" w:line="240" w:lineRule="auto"/>
      </w:pPr>
      <w:r>
        <w:continuationSeparator/>
      </w:r>
    </w:p>
  </w:footnote>
  <w:footnote w:id="1">
    <w:p w14:paraId="2F6DAD80" w14:textId="0EF767BF" w:rsidR="00837DBE" w:rsidRPr="00837DBE" w:rsidRDefault="00837D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37DBE">
        <w:rPr>
          <w:rFonts w:asciiTheme="minorHAnsi" w:hAnsiTheme="minorHAnsi" w:cstheme="minorHAnsi"/>
        </w:rPr>
        <w:t>Working Group on strategic and operational aspects related to MARPOL Annex VI monitoring activities</w:t>
      </w:r>
      <w:r>
        <w:rPr>
          <w:rFonts w:asciiTheme="minorHAnsi" w:hAnsiTheme="minorHAnsi" w:cstheme="minorHAnsi"/>
        </w:rPr>
        <w:t>.</w:t>
      </w:r>
    </w:p>
  </w:footnote>
  <w:footnote w:id="2">
    <w:p w14:paraId="57FE4E72" w14:textId="57577042" w:rsidR="00837DBE" w:rsidRPr="00837DBE" w:rsidRDefault="00837D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37DBE">
        <w:rPr>
          <w:rFonts w:asciiTheme="minorHAnsi" w:hAnsiTheme="minorHAnsi" w:cstheme="minorHAnsi"/>
        </w:rPr>
        <w:t xml:space="preserve">Working Group on </w:t>
      </w:r>
      <w:r>
        <w:rPr>
          <w:rFonts w:asciiTheme="minorHAnsi" w:hAnsiTheme="minorHAnsi" w:cstheme="minorHAnsi"/>
        </w:rPr>
        <w:t>technical aspects</w:t>
      </w:r>
      <w:r w:rsidRPr="00837DBE">
        <w:rPr>
          <w:rFonts w:asciiTheme="minorHAnsi" w:hAnsiTheme="minorHAnsi" w:cstheme="minorHAnsi"/>
        </w:rPr>
        <w:t xml:space="preserve"> related to MARPOL Annex VI monitoring activities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6E85" w14:textId="77777777" w:rsidR="002F2307" w:rsidRDefault="002F23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D414" w14:textId="77777777" w:rsidR="002F2307" w:rsidRDefault="002F23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0F0A" w14:textId="77777777" w:rsidR="002F2307" w:rsidRDefault="002F23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0B30"/>
    <w:multiLevelType w:val="hybridMultilevel"/>
    <w:tmpl w:val="14D2448A"/>
    <w:lvl w:ilvl="0" w:tplc="FFFFFFFF">
      <w:start w:val="1"/>
      <w:numFmt w:val="decimal"/>
      <w:lvlText w:val="%1."/>
      <w:lvlJc w:val="left"/>
      <w:pPr>
        <w:ind w:left="1080" w:hanging="72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05353"/>
    <w:multiLevelType w:val="hybridMultilevel"/>
    <w:tmpl w:val="E66092B6"/>
    <w:lvl w:ilvl="0" w:tplc="080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77770C"/>
    <w:multiLevelType w:val="hybridMultilevel"/>
    <w:tmpl w:val="CE040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45E2D"/>
    <w:multiLevelType w:val="hybridMultilevel"/>
    <w:tmpl w:val="123AB34A"/>
    <w:lvl w:ilvl="0" w:tplc="FFFFFFFF">
      <w:start w:val="1"/>
      <w:numFmt w:val="lowerLetter"/>
      <w:lvlText w:val="%1."/>
      <w:lvlJc w:val="left"/>
      <w:pPr>
        <w:ind w:left="712" w:hanging="57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F104045"/>
    <w:multiLevelType w:val="hybridMultilevel"/>
    <w:tmpl w:val="A8C8B0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955F0E"/>
    <w:multiLevelType w:val="multilevel"/>
    <w:tmpl w:val="C6AA0B9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07B0151"/>
    <w:multiLevelType w:val="hybridMultilevel"/>
    <w:tmpl w:val="7124E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D279F"/>
    <w:multiLevelType w:val="hybridMultilevel"/>
    <w:tmpl w:val="45CE4438"/>
    <w:lvl w:ilvl="0" w:tplc="4B461E1E">
      <w:start w:val="1"/>
      <w:numFmt w:val="decimal"/>
      <w:lvlText w:val="2.%1"/>
      <w:lvlJc w:val="left"/>
      <w:pPr>
        <w:ind w:left="20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15E1F"/>
    <w:multiLevelType w:val="hybridMultilevel"/>
    <w:tmpl w:val="EE76BF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64E0F"/>
    <w:multiLevelType w:val="multilevel"/>
    <w:tmpl w:val="7D6CF6D8"/>
    <w:lvl w:ilvl="0">
      <w:start w:val="1"/>
      <w:numFmt w:val="decimal"/>
      <w:pStyle w:val="BodyText"/>
      <w:lvlText w:val="%1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38"/>
        </w:tabs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0" w15:restartNumberingAfterBreak="0">
    <w:nsid w:val="4E7C3BF0"/>
    <w:multiLevelType w:val="hybridMultilevel"/>
    <w:tmpl w:val="123AB34A"/>
    <w:lvl w:ilvl="0" w:tplc="FFFFFFFF">
      <w:start w:val="1"/>
      <w:numFmt w:val="lowerLetter"/>
      <w:lvlText w:val="%1."/>
      <w:lvlJc w:val="left"/>
      <w:pPr>
        <w:ind w:left="712" w:hanging="57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52D33E2D"/>
    <w:multiLevelType w:val="hybridMultilevel"/>
    <w:tmpl w:val="123AB34A"/>
    <w:lvl w:ilvl="0" w:tplc="08090019">
      <w:start w:val="1"/>
      <w:numFmt w:val="lowerLetter"/>
      <w:lvlText w:val="%1."/>
      <w:lvlJc w:val="left"/>
      <w:pPr>
        <w:ind w:left="712" w:hanging="57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4381ED0"/>
    <w:multiLevelType w:val="hybridMultilevel"/>
    <w:tmpl w:val="14D2448A"/>
    <w:lvl w:ilvl="0" w:tplc="AEF44A4C">
      <w:start w:val="1"/>
      <w:numFmt w:val="decimal"/>
      <w:lvlText w:val="%1."/>
      <w:lvlJc w:val="left"/>
      <w:pPr>
        <w:ind w:left="1080" w:hanging="72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95BA4"/>
    <w:multiLevelType w:val="hybridMultilevel"/>
    <w:tmpl w:val="B5C4A710"/>
    <w:lvl w:ilvl="0" w:tplc="795E7060">
      <w:start w:val="1"/>
      <w:numFmt w:val="decimal"/>
      <w:lvlText w:val="%1."/>
      <w:lvlJc w:val="left"/>
      <w:pPr>
        <w:ind w:left="712" w:hanging="57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6C8C0CEC"/>
    <w:multiLevelType w:val="hybridMultilevel"/>
    <w:tmpl w:val="6114B6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3D44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D373F"/>
    <w:multiLevelType w:val="hybridMultilevel"/>
    <w:tmpl w:val="B5C4A710"/>
    <w:lvl w:ilvl="0" w:tplc="FFFFFFFF">
      <w:start w:val="1"/>
      <w:numFmt w:val="decimal"/>
      <w:lvlText w:val="%1."/>
      <w:lvlJc w:val="left"/>
      <w:pPr>
        <w:ind w:left="712" w:hanging="57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73CB075E"/>
    <w:multiLevelType w:val="hybridMultilevel"/>
    <w:tmpl w:val="123AB34A"/>
    <w:lvl w:ilvl="0" w:tplc="FFFFFFFF">
      <w:start w:val="1"/>
      <w:numFmt w:val="lowerLetter"/>
      <w:lvlText w:val="%1."/>
      <w:lvlJc w:val="left"/>
      <w:pPr>
        <w:ind w:left="712" w:hanging="57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74151AD4"/>
    <w:multiLevelType w:val="hybridMultilevel"/>
    <w:tmpl w:val="D6B69F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4405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7758410">
    <w:abstractNumId w:val="12"/>
  </w:num>
  <w:num w:numId="3" w16cid:durableId="1508522365">
    <w:abstractNumId w:val="4"/>
  </w:num>
  <w:num w:numId="4" w16cid:durableId="201750810">
    <w:abstractNumId w:val="17"/>
  </w:num>
  <w:num w:numId="5" w16cid:durableId="956763113">
    <w:abstractNumId w:val="2"/>
  </w:num>
  <w:num w:numId="6" w16cid:durableId="439034385">
    <w:abstractNumId w:val="9"/>
  </w:num>
  <w:num w:numId="7" w16cid:durableId="539900834">
    <w:abstractNumId w:val="7"/>
  </w:num>
  <w:num w:numId="8" w16cid:durableId="1692029606">
    <w:abstractNumId w:val="1"/>
  </w:num>
  <w:num w:numId="9" w16cid:durableId="1418214224">
    <w:abstractNumId w:val="0"/>
  </w:num>
  <w:num w:numId="10" w16cid:durableId="1945764214">
    <w:abstractNumId w:val="5"/>
  </w:num>
  <w:num w:numId="11" w16cid:durableId="512302886">
    <w:abstractNumId w:val="6"/>
  </w:num>
  <w:num w:numId="12" w16cid:durableId="576282173">
    <w:abstractNumId w:val="14"/>
  </w:num>
  <w:num w:numId="13" w16cid:durableId="211890885">
    <w:abstractNumId w:val="8"/>
  </w:num>
  <w:num w:numId="14" w16cid:durableId="1151290324">
    <w:abstractNumId w:val="13"/>
  </w:num>
  <w:num w:numId="15" w16cid:durableId="420569577">
    <w:abstractNumId w:val="15"/>
  </w:num>
  <w:num w:numId="16" w16cid:durableId="28342877">
    <w:abstractNumId w:val="11"/>
  </w:num>
  <w:num w:numId="17" w16cid:durableId="1248924311">
    <w:abstractNumId w:val="16"/>
  </w:num>
  <w:num w:numId="18" w16cid:durableId="371538118">
    <w:abstractNumId w:val="10"/>
  </w:num>
  <w:num w:numId="19" w16cid:durableId="713892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C7"/>
    <w:rsid w:val="00026127"/>
    <w:rsid w:val="0007488E"/>
    <w:rsid w:val="000916DB"/>
    <w:rsid w:val="000962F1"/>
    <w:rsid w:val="000A4249"/>
    <w:rsid w:val="000A4DFD"/>
    <w:rsid w:val="00126ECC"/>
    <w:rsid w:val="00130FD9"/>
    <w:rsid w:val="00166104"/>
    <w:rsid w:val="001666C3"/>
    <w:rsid w:val="001817CB"/>
    <w:rsid w:val="001A27A8"/>
    <w:rsid w:val="001E7437"/>
    <w:rsid w:val="001F0BCC"/>
    <w:rsid w:val="001F6F18"/>
    <w:rsid w:val="00201A3D"/>
    <w:rsid w:val="00225F7D"/>
    <w:rsid w:val="002641B0"/>
    <w:rsid w:val="002730EB"/>
    <w:rsid w:val="002B50F5"/>
    <w:rsid w:val="002D17D3"/>
    <w:rsid w:val="002F2307"/>
    <w:rsid w:val="003008FD"/>
    <w:rsid w:val="00336EDD"/>
    <w:rsid w:val="003608F5"/>
    <w:rsid w:val="00361018"/>
    <w:rsid w:val="00397BE2"/>
    <w:rsid w:val="003C16C9"/>
    <w:rsid w:val="00401F99"/>
    <w:rsid w:val="004163EA"/>
    <w:rsid w:val="00452387"/>
    <w:rsid w:val="00462045"/>
    <w:rsid w:val="0049741A"/>
    <w:rsid w:val="004B548B"/>
    <w:rsid w:val="004C1E24"/>
    <w:rsid w:val="004C2520"/>
    <w:rsid w:val="00501A9B"/>
    <w:rsid w:val="00513987"/>
    <w:rsid w:val="00520824"/>
    <w:rsid w:val="00525AD5"/>
    <w:rsid w:val="005675C7"/>
    <w:rsid w:val="00575964"/>
    <w:rsid w:val="0058599B"/>
    <w:rsid w:val="00590D05"/>
    <w:rsid w:val="005D23D6"/>
    <w:rsid w:val="005E646B"/>
    <w:rsid w:val="005F484D"/>
    <w:rsid w:val="006470F4"/>
    <w:rsid w:val="0068014C"/>
    <w:rsid w:val="006A05E7"/>
    <w:rsid w:val="006A69D4"/>
    <w:rsid w:val="006A7DB3"/>
    <w:rsid w:val="006A7E7B"/>
    <w:rsid w:val="006C2153"/>
    <w:rsid w:val="006D52E9"/>
    <w:rsid w:val="00756EF1"/>
    <w:rsid w:val="007657C9"/>
    <w:rsid w:val="00776ADD"/>
    <w:rsid w:val="007B0332"/>
    <w:rsid w:val="00812630"/>
    <w:rsid w:val="00821AF6"/>
    <w:rsid w:val="0082473A"/>
    <w:rsid w:val="00837DBE"/>
    <w:rsid w:val="00874578"/>
    <w:rsid w:val="0087560B"/>
    <w:rsid w:val="00875B4B"/>
    <w:rsid w:val="008A4E08"/>
    <w:rsid w:val="008C1A85"/>
    <w:rsid w:val="00901034"/>
    <w:rsid w:val="00902621"/>
    <w:rsid w:val="009076F7"/>
    <w:rsid w:val="00927549"/>
    <w:rsid w:val="009435D0"/>
    <w:rsid w:val="00944639"/>
    <w:rsid w:val="0095208C"/>
    <w:rsid w:val="00982931"/>
    <w:rsid w:val="00991EFD"/>
    <w:rsid w:val="009F7D38"/>
    <w:rsid w:val="00A006C9"/>
    <w:rsid w:val="00A011C1"/>
    <w:rsid w:val="00A2774F"/>
    <w:rsid w:val="00A40104"/>
    <w:rsid w:val="00A42A9F"/>
    <w:rsid w:val="00A92BCC"/>
    <w:rsid w:val="00AA2B07"/>
    <w:rsid w:val="00AA4727"/>
    <w:rsid w:val="00AC07AC"/>
    <w:rsid w:val="00AC7E6A"/>
    <w:rsid w:val="00AD7D58"/>
    <w:rsid w:val="00B009EC"/>
    <w:rsid w:val="00B07CDC"/>
    <w:rsid w:val="00BA7027"/>
    <w:rsid w:val="00BD3851"/>
    <w:rsid w:val="00BE3120"/>
    <w:rsid w:val="00C132D3"/>
    <w:rsid w:val="00C51BAB"/>
    <w:rsid w:val="00CA2FCC"/>
    <w:rsid w:val="00CA64A0"/>
    <w:rsid w:val="00CB786E"/>
    <w:rsid w:val="00CC2CF2"/>
    <w:rsid w:val="00CC3CFD"/>
    <w:rsid w:val="00CD197A"/>
    <w:rsid w:val="00CE7D74"/>
    <w:rsid w:val="00D205E7"/>
    <w:rsid w:val="00D2731F"/>
    <w:rsid w:val="00D40AFF"/>
    <w:rsid w:val="00D67848"/>
    <w:rsid w:val="00D73220"/>
    <w:rsid w:val="00D801B9"/>
    <w:rsid w:val="00D83CF4"/>
    <w:rsid w:val="00DE6143"/>
    <w:rsid w:val="00DF21CA"/>
    <w:rsid w:val="00E02F48"/>
    <w:rsid w:val="00E83D6B"/>
    <w:rsid w:val="00EA3D72"/>
    <w:rsid w:val="00EA657C"/>
    <w:rsid w:val="00EB01C3"/>
    <w:rsid w:val="00EE076E"/>
    <w:rsid w:val="00F05759"/>
    <w:rsid w:val="00F20B4D"/>
    <w:rsid w:val="00F276F7"/>
    <w:rsid w:val="00F92C0C"/>
    <w:rsid w:val="00F92CAD"/>
    <w:rsid w:val="00F94806"/>
    <w:rsid w:val="00FA5284"/>
    <w:rsid w:val="00FA6EB7"/>
    <w:rsid w:val="00FB4A11"/>
    <w:rsid w:val="00FE4A18"/>
    <w:rsid w:val="00FE7BD1"/>
    <w:rsid w:val="00FF3FCF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09C2"/>
  <w15:chartTrackingRefBased/>
  <w15:docId w15:val="{D1E37063-A18C-4725-A894-707CD584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20824"/>
    <w:pPr>
      <w:keepNext/>
      <w:spacing w:before="240" w:after="120" w:line="276" w:lineRule="auto"/>
      <w:jc w:val="both"/>
      <w:outlineLvl w:val="1"/>
    </w:pPr>
    <w:rPr>
      <w:rFonts w:ascii="Calibri" w:eastAsia="Times New Roman" w:hAnsi="Calibri" w:cs="Times New Roman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86E"/>
    <w:pPr>
      <w:ind w:left="720"/>
      <w:contextualSpacing/>
    </w:pPr>
  </w:style>
  <w:style w:type="table" w:styleId="TableGrid">
    <w:name w:val="Table Grid"/>
    <w:basedOn w:val="TableNormal"/>
    <w:uiPriority w:val="39"/>
    <w:rsid w:val="0045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0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B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2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153"/>
  </w:style>
  <w:style w:type="paragraph" w:styleId="Footer">
    <w:name w:val="footer"/>
    <w:basedOn w:val="Normal"/>
    <w:link w:val="FooterChar"/>
    <w:unhideWhenUsed/>
    <w:rsid w:val="006C2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153"/>
  </w:style>
  <w:style w:type="paragraph" w:styleId="Revision">
    <w:name w:val="Revision"/>
    <w:hidden/>
    <w:uiPriority w:val="99"/>
    <w:semiHidden/>
    <w:rsid w:val="009F7D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7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D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D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D3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16DB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4B548B"/>
    <w:rPr>
      <w:rFonts w:ascii="Segoe UI" w:hAnsi="Segoe UI" w:cs="Segoe UI" w:hint="default"/>
      <w:sz w:val="18"/>
      <w:szCs w:val="18"/>
    </w:rPr>
  </w:style>
  <w:style w:type="paragraph" w:styleId="BodyText">
    <w:name w:val="Body Text"/>
    <w:basedOn w:val="Normal"/>
    <w:link w:val="BodyTextChar"/>
    <w:rsid w:val="00E83D6B"/>
    <w:pPr>
      <w:numPr>
        <w:numId w:val="6"/>
      </w:numPr>
      <w:tabs>
        <w:tab w:val="left" w:pos="1701"/>
      </w:tabs>
      <w:spacing w:after="140" w:line="280" w:lineRule="atLeast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83D6B"/>
    <w:rPr>
      <w:rFonts w:ascii="Arial" w:eastAsia="Times New Roman" w:hAnsi="Arial" w:cs="Times New Roman"/>
      <w:sz w:val="20"/>
      <w:szCs w:val="20"/>
      <w:lang w:eastAsia="en-GB"/>
    </w:rPr>
  </w:style>
  <w:style w:type="paragraph" w:styleId="Title">
    <w:name w:val="Title"/>
    <w:link w:val="TitleChar"/>
    <w:qFormat/>
    <w:rsid w:val="00575964"/>
    <w:pPr>
      <w:spacing w:before="560" w:after="280" w:line="280" w:lineRule="atLeast"/>
      <w:outlineLvl w:val="0"/>
    </w:pPr>
    <w:rPr>
      <w:rFonts w:ascii="Arial" w:eastAsia="Times New Roman" w:hAnsi="Arial" w:cs="Times New Roman"/>
      <w:noProof/>
      <w:kern w:val="28"/>
      <w:sz w:val="4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575964"/>
    <w:rPr>
      <w:rFonts w:ascii="Arial" w:eastAsia="Times New Roman" w:hAnsi="Arial" w:cs="Times New Roman"/>
      <w:noProof/>
      <w:kern w:val="28"/>
      <w:sz w:val="40"/>
      <w:szCs w:val="20"/>
      <w:lang w:val="en-US"/>
    </w:rPr>
  </w:style>
  <w:style w:type="paragraph" w:customStyle="1" w:styleId="Default">
    <w:name w:val="Default"/>
    <w:rsid w:val="00FF3F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20824"/>
    <w:rPr>
      <w:rFonts w:ascii="Calibri" w:eastAsia="Times New Roman" w:hAnsi="Calibri" w:cs="Times New Roman"/>
      <w:sz w:val="28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520824"/>
    <w:pPr>
      <w:tabs>
        <w:tab w:val="left" w:pos="567"/>
        <w:tab w:val="left" w:pos="1134"/>
        <w:tab w:val="left" w:pos="1701"/>
        <w:tab w:val="left" w:pos="2268"/>
      </w:tabs>
      <w:spacing w:after="120" w:line="240" w:lineRule="auto"/>
      <w:ind w:left="567" w:hanging="567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824"/>
    <w:rPr>
      <w:rFonts w:ascii="Calibri" w:eastAsia="Times New Roman" w:hAnsi="Calibri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rsid w:val="00520824"/>
    <w:rPr>
      <w:vertAlign w:val="superscript"/>
    </w:rPr>
  </w:style>
  <w:style w:type="paragraph" w:customStyle="1" w:styleId="Docheader">
    <w:name w:val="Doc header"/>
    <w:basedOn w:val="Normal"/>
    <w:rsid w:val="005D23D6"/>
    <w:pPr>
      <w:tabs>
        <w:tab w:val="left" w:pos="567"/>
      </w:tabs>
      <w:spacing w:after="0" w:line="280" w:lineRule="exact"/>
    </w:pPr>
    <w:rPr>
      <w:rFonts w:ascii="Arial" w:eastAsia="Times New Roman" w:hAnsi="Arial" w:cs="Times New Roman"/>
      <w:sz w:val="24"/>
      <w:szCs w:val="20"/>
      <w:lang w:val="en-US"/>
    </w:rPr>
  </w:style>
  <w:style w:type="character" w:styleId="PageNumber">
    <w:name w:val="page number"/>
    <w:rsid w:val="005D23D6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CC2A7-35EB-4FE5-938D-1F6F6245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la Torre</dc:creator>
  <cp:keywords/>
  <dc:description/>
  <cp:lastModifiedBy>Olle Akesson</cp:lastModifiedBy>
  <cp:revision>8</cp:revision>
  <cp:lastPrinted>2022-07-11T12:45:00Z</cp:lastPrinted>
  <dcterms:created xsi:type="dcterms:W3CDTF">2023-09-21T07:36:00Z</dcterms:created>
  <dcterms:modified xsi:type="dcterms:W3CDTF">2023-11-02T12:21:00Z</dcterms:modified>
</cp:coreProperties>
</file>