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678"/>
      </w:tblGrid>
      <w:tr w:rsidR="00E35E7C" w14:paraId="55B07A37" w14:textId="77777777" w:rsidTr="00C40655">
        <w:trPr>
          <w:trHeight w:val="2684"/>
        </w:trPr>
        <w:tc>
          <w:tcPr>
            <w:tcW w:w="5211" w:type="dxa"/>
          </w:tcPr>
          <w:p w14:paraId="402CE03E" w14:textId="77777777" w:rsidR="00E35E7C" w:rsidRDefault="00EA6C7F" w:rsidP="00EA6C7F">
            <w:r>
              <w:rPr>
                <w:noProof/>
                <w:lang w:eastAsia="en-GB"/>
              </w:rPr>
              <w:drawing>
                <wp:inline distT="0" distB="0" distL="0" distR="0" wp14:anchorId="50D9FC84" wp14:editId="55B938CE">
                  <wp:extent cx="3238500" cy="1800225"/>
                  <wp:effectExtent l="0" t="0" r="0" b="9525"/>
                  <wp:docPr id="2" name="Picture 2" descr="C:\Users\john\AppData\Local\Microsoft\Windows\Temporary Internet Files\Content.Word\BE-AWA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AppData\Local\Microsoft\Windows\Temporary Internet Files\Content.Word\BE-AWARE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0" cy="1800225"/>
                          </a:xfrm>
                          <a:prstGeom prst="rect">
                            <a:avLst/>
                          </a:prstGeom>
                          <a:noFill/>
                          <a:ln>
                            <a:noFill/>
                          </a:ln>
                        </pic:spPr>
                      </pic:pic>
                    </a:graphicData>
                  </a:graphic>
                </wp:inline>
              </w:drawing>
            </w:r>
          </w:p>
        </w:tc>
        <w:tc>
          <w:tcPr>
            <w:tcW w:w="4678" w:type="dxa"/>
            <w:vAlign w:val="center"/>
          </w:tcPr>
          <w:p w14:paraId="14A375C1" w14:textId="77777777" w:rsidR="00DE0FE0" w:rsidRPr="00770E0E" w:rsidRDefault="00C5372B" w:rsidP="00DE0FE0">
            <w:pPr>
              <w:rPr>
                <w:sz w:val="46"/>
                <w:szCs w:val="52"/>
              </w:rPr>
            </w:pPr>
            <w:r w:rsidRPr="00770E0E">
              <w:rPr>
                <w:sz w:val="46"/>
                <w:szCs w:val="52"/>
              </w:rPr>
              <w:t xml:space="preserve">BE-AWARE </w:t>
            </w:r>
            <w:r w:rsidR="00663C5C">
              <w:rPr>
                <w:sz w:val="46"/>
                <w:szCs w:val="52"/>
              </w:rPr>
              <w:t>II</w:t>
            </w:r>
            <w:r w:rsidRPr="00770E0E">
              <w:rPr>
                <w:sz w:val="46"/>
                <w:szCs w:val="52"/>
              </w:rPr>
              <w:t xml:space="preserve"> </w:t>
            </w:r>
            <w:r w:rsidR="006F3D1E">
              <w:rPr>
                <w:sz w:val="46"/>
                <w:szCs w:val="52"/>
              </w:rPr>
              <w:t>Risk Management Conclusions Workshop</w:t>
            </w:r>
            <w:r w:rsidR="00770E0E" w:rsidRPr="00770E0E">
              <w:rPr>
                <w:sz w:val="46"/>
                <w:szCs w:val="52"/>
              </w:rPr>
              <w:t xml:space="preserve">, </w:t>
            </w:r>
            <w:r w:rsidR="006F3D1E">
              <w:rPr>
                <w:sz w:val="46"/>
                <w:szCs w:val="52"/>
              </w:rPr>
              <w:t>Copenhagen,</w:t>
            </w:r>
          </w:p>
          <w:p w14:paraId="5DE92EAD" w14:textId="77777777" w:rsidR="00E35E7C" w:rsidRDefault="00770E0E" w:rsidP="006F3D1E">
            <w:r w:rsidRPr="00770E0E">
              <w:rPr>
                <w:sz w:val="46"/>
                <w:szCs w:val="52"/>
              </w:rPr>
              <w:t>2</w:t>
            </w:r>
            <w:r w:rsidR="006F3D1E">
              <w:rPr>
                <w:sz w:val="46"/>
                <w:szCs w:val="52"/>
              </w:rPr>
              <w:t>2</w:t>
            </w:r>
            <w:r w:rsidR="00DE0FE0" w:rsidRPr="00770E0E">
              <w:rPr>
                <w:sz w:val="46"/>
                <w:szCs w:val="52"/>
              </w:rPr>
              <w:t xml:space="preserve"> </w:t>
            </w:r>
            <w:r w:rsidR="006F3D1E">
              <w:rPr>
                <w:sz w:val="46"/>
                <w:szCs w:val="52"/>
              </w:rPr>
              <w:t>September</w:t>
            </w:r>
            <w:r w:rsidR="00DE0FE0" w:rsidRPr="00770E0E">
              <w:rPr>
                <w:sz w:val="46"/>
                <w:szCs w:val="52"/>
              </w:rPr>
              <w:t xml:space="preserve"> </w:t>
            </w:r>
            <w:r w:rsidR="00C5372B" w:rsidRPr="00770E0E">
              <w:rPr>
                <w:sz w:val="46"/>
                <w:szCs w:val="52"/>
              </w:rPr>
              <w:t>201</w:t>
            </w:r>
            <w:r w:rsidRPr="00770E0E">
              <w:rPr>
                <w:sz w:val="46"/>
                <w:szCs w:val="52"/>
              </w:rPr>
              <w:t>5</w:t>
            </w:r>
          </w:p>
        </w:tc>
      </w:tr>
    </w:tbl>
    <w:p w14:paraId="6E4D61E0" w14:textId="77777777" w:rsidR="000A504D" w:rsidRDefault="000A504D"/>
    <w:p w14:paraId="29B0BCAC" w14:textId="02624178" w:rsidR="002E69E5" w:rsidRPr="002E69E5" w:rsidRDefault="00C40655" w:rsidP="001D0FE8">
      <w:pPr>
        <w:spacing w:after="120" w:line="240" w:lineRule="auto"/>
        <w:rPr>
          <w:b/>
          <w:sz w:val="62"/>
        </w:rPr>
      </w:pPr>
      <w:bookmarkStart w:id="0" w:name="_GoBack"/>
      <w:bookmarkEnd w:id="0"/>
      <w:r>
        <w:rPr>
          <w:b/>
          <w:sz w:val="62"/>
        </w:rPr>
        <w:t>R</w:t>
      </w:r>
      <w:r w:rsidR="009805FD">
        <w:rPr>
          <w:b/>
          <w:sz w:val="62"/>
        </w:rPr>
        <w:t>eport</w:t>
      </w:r>
    </w:p>
    <w:p w14:paraId="7C42D458" w14:textId="77777777" w:rsidR="000A504D" w:rsidRDefault="000A504D"/>
    <w:p w14:paraId="2AD92736" w14:textId="77777777" w:rsidR="009805FD" w:rsidRPr="00014420" w:rsidRDefault="009805FD" w:rsidP="009805FD">
      <w:pPr>
        <w:rPr>
          <w:sz w:val="32"/>
          <w:szCs w:val="32"/>
        </w:rPr>
      </w:pPr>
      <w:r w:rsidRPr="00490918">
        <w:rPr>
          <w:b/>
          <w:sz w:val="36"/>
          <w:szCs w:val="36"/>
        </w:rPr>
        <w:t xml:space="preserve">BE-AWARE </w:t>
      </w:r>
      <w:r>
        <w:rPr>
          <w:b/>
          <w:sz w:val="36"/>
          <w:szCs w:val="36"/>
        </w:rPr>
        <w:t>II Risk Management Conclusions Workshop, Copenhagen, 22 September 2015</w:t>
      </w:r>
      <w:r>
        <w:rPr>
          <w:b/>
          <w:sz w:val="36"/>
          <w:szCs w:val="36"/>
        </w:rPr>
        <w:br/>
      </w:r>
    </w:p>
    <w:p w14:paraId="67C2042D" w14:textId="77777777" w:rsidR="009805FD" w:rsidRPr="00CC5A94" w:rsidRDefault="00DD21AF" w:rsidP="006D3269">
      <w:pPr>
        <w:keepNext/>
        <w:spacing w:before="240" w:after="0" w:line="280" w:lineRule="atLeast"/>
        <w:rPr>
          <w:b/>
          <w:sz w:val="26"/>
        </w:rPr>
      </w:pPr>
      <w:r>
        <w:rPr>
          <w:b/>
          <w:sz w:val="26"/>
        </w:rPr>
        <w:t>1.</w:t>
      </w:r>
      <w:r>
        <w:rPr>
          <w:b/>
          <w:sz w:val="26"/>
        </w:rPr>
        <w:tab/>
      </w:r>
      <w:r w:rsidR="009805FD" w:rsidRPr="00CC5A94">
        <w:rPr>
          <w:b/>
          <w:sz w:val="26"/>
        </w:rPr>
        <w:t xml:space="preserve">Welcome </w:t>
      </w:r>
      <w:r w:rsidR="00C40655">
        <w:rPr>
          <w:b/>
          <w:sz w:val="26"/>
        </w:rPr>
        <w:t>and Aims of Workshop</w:t>
      </w:r>
    </w:p>
    <w:p w14:paraId="19273014" w14:textId="77777777" w:rsidR="005341E3" w:rsidRPr="00E927B5" w:rsidRDefault="00C40655" w:rsidP="005B6ACC">
      <w:pPr>
        <w:spacing w:before="120" w:after="120" w:line="280" w:lineRule="atLeast"/>
        <w:jc w:val="both"/>
      </w:pPr>
      <w:r>
        <w:t>1.1</w:t>
      </w:r>
      <w:r>
        <w:tab/>
      </w:r>
      <w:r w:rsidR="005341E3" w:rsidRPr="00E927B5">
        <w:t>The Works</w:t>
      </w:r>
      <w:r>
        <w:t>hop was opened by Mr John Mouat,</w:t>
      </w:r>
      <w:r w:rsidR="005341E3" w:rsidRPr="00E927B5">
        <w:t xml:space="preserve"> Deputy Secretary at</w:t>
      </w:r>
      <w:r>
        <w:t xml:space="preserve"> the Bonn Agreement Secretariat, and </w:t>
      </w:r>
      <w:r w:rsidR="00747A4C">
        <w:t xml:space="preserve">Commander </w:t>
      </w:r>
      <w:r w:rsidRPr="007B65A9">
        <w:t xml:space="preserve">Torben </w:t>
      </w:r>
      <w:r>
        <w:t>Iversen of</w:t>
      </w:r>
      <w:r w:rsidRPr="007B65A9">
        <w:t xml:space="preserve"> </w:t>
      </w:r>
      <w:r>
        <w:t xml:space="preserve">Defence Command Denmark, who </w:t>
      </w:r>
      <w:r w:rsidRPr="00E927B5">
        <w:t>welcomed delegates to Copenhagen and wished them a successful workshop</w:t>
      </w:r>
      <w:r>
        <w:t>.</w:t>
      </w:r>
    </w:p>
    <w:p w14:paraId="0F6C412A" w14:textId="77777777" w:rsidR="00B950DB" w:rsidRPr="00E927B5" w:rsidRDefault="00C40655" w:rsidP="005B6ACC">
      <w:pPr>
        <w:spacing w:before="120" w:after="120" w:line="280" w:lineRule="atLeast"/>
        <w:jc w:val="both"/>
      </w:pPr>
      <w:r>
        <w:t>1.2</w:t>
      </w:r>
      <w:r>
        <w:tab/>
      </w:r>
      <w:r w:rsidR="00844BB9" w:rsidRPr="00E927B5">
        <w:t>The Secretariat ex</w:t>
      </w:r>
      <w:r>
        <w:t xml:space="preserve">plained that the meeting would consider </w:t>
      </w:r>
      <w:r w:rsidR="00844BB9" w:rsidRPr="00E927B5">
        <w:t>the results of</w:t>
      </w:r>
      <w:r w:rsidR="00B950DB" w:rsidRPr="00E927B5">
        <w:t xml:space="preserve"> </w:t>
      </w:r>
      <w:r>
        <w:t xml:space="preserve">oil drift modelling, </w:t>
      </w:r>
      <w:r w:rsidR="00844BB9" w:rsidRPr="00E927B5">
        <w:t>environmental</w:t>
      </w:r>
      <w:r>
        <w:t xml:space="preserve"> and socioeconomic vulnerability</w:t>
      </w:r>
      <w:r w:rsidR="00844BB9" w:rsidRPr="00E927B5">
        <w:t xml:space="preserve"> </w:t>
      </w:r>
      <w:r>
        <w:t>analysis and impact analysis, which had been carried out by COWI</w:t>
      </w:r>
      <w:r w:rsidR="00844BB9" w:rsidRPr="00E927B5">
        <w:t xml:space="preserve">. The meeting would then </w:t>
      </w:r>
      <w:r>
        <w:t xml:space="preserve">review the </w:t>
      </w:r>
      <w:r w:rsidR="00B950DB" w:rsidRPr="00E927B5">
        <w:t xml:space="preserve">results </w:t>
      </w:r>
      <w:r w:rsidR="00844BB9" w:rsidRPr="00E927B5">
        <w:t xml:space="preserve">for each scenario for the five </w:t>
      </w:r>
      <w:r w:rsidR="00B950DB" w:rsidRPr="00E927B5">
        <w:t xml:space="preserve">sub-regions one by one </w:t>
      </w:r>
      <w:r w:rsidR="00844BB9" w:rsidRPr="00E927B5">
        <w:t>and</w:t>
      </w:r>
      <w:r w:rsidR="0043329E">
        <w:t xml:space="preserve"> discuss the </w:t>
      </w:r>
      <w:r>
        <w:t>scenario rankings</w:t>
      </w:r>
      <w:r w:rsidR="00D808CF" w:rsidRPr="00E927B5">
        <w:t xml:space="preserve">. </w:t>
      </w:r>
      <w:r w:rsidR="00747A4C">
        <w:t>Each sub-region would need to identify a</w:t>
      </w:r>
      <w:r w:rsidR="0043329E" w:rsidRPr="00E927B5">
        <w:t xml:space="preserve"> lead Contracting Party to coordinate discussion on priorities for that region </w:t>
      </w:r>
      <w:r w:rsidR="0043329E">
        <w:t>and t</w:t>
      </w:r>
      <w:r w:rsidR="00844BB9" w:rsidRPr="00E927B5">
        <w:t xml:space="preserve">he workshop would </w:t>
      </w:r>
      <w:r w:rsidR="00747A4C">
        <w:t xml:space="preserve">develop </w:t>
      </w:r>
      <w:r w:rsidR="00844BB9" w:rsidRPr="00E927B5">
        <w:t xml:space="preserve">preliminary </w:t>
      </w:r>
      <w:r w:rsidR="0043329E">
        <w:t xml:space="preserve">risk management conclusions. </w:t>
      </w:r>
      <w:r w:rsidR="00844BB9" w:rsidRPr="00E927B5">
        <w:t>The</w:t>
      </w:r>
      <w:r w:rsidR="00D4522A">
        <w:t xml:space="preserve"> results </w:t>
      </w:r>
      <w:r w:rsidR="00844BB9" w:rsidRPr="00E927B5">
        <w:t>would</w:t>
      </w:r>
      <w:r w:rsidR="0043329E">
        <w:t xml:space="preserve"> then</w:t>
      </w:r>
      <w:r w:rsidR="00844BB9" w:rsidRPr="00E927B5">
        <w:t xml:space="preserve"> be </w:t>
      </w:r>
      <w:r w:rsidR="0043329E">
        <w:t xml:space="preserve">subject to a two-week consultation period with national administrations before being added to </w:t>
      </w:r>
      <w:r w:rsidR="00844BB9" w:rsidRPr="00E927B5">
        <w:t xml:space="preserve">the </w:t>
      </w:r>
      <w:r w:rsidR="0043329E">
        <w:t xml:space="preserve">final </w:t>
      </w:r>
      <w:r w:rsidR="00844BB9" w:rsidRPr="00E927B5">
        <w:t>report for the BE-AWARE II Final Conference.</w:t>
      </w:r>
    </w:p>
    <w:p w14:paraId="470CB030" w14:textId="77777777" w:rsidR="00CC5A94" w:rsidRPr="00DD21AF" w:rsidRDefault="00DD21AF" w:rsidP="006D3269">
      <w:pPr>
        <w:keepNext/>
        <w:spacing w:before="240" w:after="0" w:line="280" w:lineRule="atLeast"/>
        <w:rPr>
          <w:b/>
          <w:sz w:val="26"/>
          <w:szCs w:val="26"/>
        </w:rPr>
      </w:pPr>
      <w:r w:rsidRPr="00DD21AF">
        <w:rPr>
          <w:b/>
          <w:sz w:val="26"/>
          <w:szCs w:val="26"/>
        </w:rPr>
        <w:t>2.</w:t>
      </w:r>
      <w:r w:rsidRPr="00DD21AF">
        <w:rPr>
          <w:b/>
          <w:sz w:val="26"/>
          <w:szCs w:val="26"/>
        </w:rPr>
        <w:tab/>
      </w:r>
      <w:r w:rsidR="00CC5A94" w:rsidRPr="00DD21AF">
        <w:rPr>
          <w:b/>
          <w:sz w:val="26"/>
          <w:szCs w:val="26"/>
        </w:rPr>
        <w:t>Overview of the methodology</w:t>
      </w:r>
    </w:p>
    <w:p w14:paraId="4CD009AA" w14:textId="77777777" w:rsidR="00ED1C8C" w:rsidRPr="00E927B5" w:rsidRDefault="00DD21AF" w:rsidP="005B6ACC">
      <w:pPr>
        <w:spacing w:before="120" w:after="120" w:line="280" w:lineRule="atLeast"/>
        <w:jc w:val="both"/>
      </w:pPr>
      <w:r>
        <w:t>2.1</w:t>
      </w:r>
      <w:r w:rsidR="0043329E">
        <w:tab/>
      </w:r>
      <w:r w:rsidR="004476D6" w:rsidRPr="00E927B5">
        <w:t xml:space="preserve">COWI gave an overview of the </w:t>
      </w:r>
      <w:r w:rsidR="00165E4B" w:rsidRPr="00E927B5">
        <w:t>d</w:t>
      </w:r>
      <w:r w:rsidR="004476D6" w:rsidRPr="00E927B5">
        <w:t>evelopment of the</w:t>
      </w:r>
      <w:r w:rsidR="0043329E">
        <w:t xml:space="preserve"> project,</w:t>
      </w:r>
      <w:r w:rsidR="004476D6" w:rsidRPr="00E927B5">
        <w:t xml:space="preserve"> </w:t>
      </w:r>
      <w:r w:rsidR="00165E4B" w:rsidRPr="00E927B5">
        <w:t xml:space="preserve">which had </w:t>
      </w:r>
      <w:r w:rsidR="004476D6" w:rsidRPr="00E927B5">
        <w:t xml:space="preserve">started with the collection of </w:t>
      </w:r>
      <w:r w:rsidR="00ED1C8C" w:rsidRPr="00E927B5">
        <w:t xml:space="preserve">AIS data </w:t>
      </w:r>
      <w:r w:rsidR="004476D6" w:rsidRPr="00E927B5">
        <w:t xml:space="preserve">on individual </w:t>
      </w:r>
      <w:r w:rsidR="00ED1C8C" w:rsidRPr="00E927B5">
        <w:t>vessels</w:t>
      </w:r>
      <w:r w:rsidR="000B4139">
        <w:t xml:space="preserve">. </w:t>
      </w:r>
      <w:r w:rsidR="00ED1C8C" w:rsidRPr="00E927B5">
        <w:t>B</w:t>
      </w:r>
      <w:r w:rsidR="004476D6" w:rsidRPr="00E927B5">
        <w:t xml:space="preserve">E-AWARE I </w:t>
      </w:r>
      <w:r w:rsidR="0043329E">
        <w:t>had established the</w:t>
      </w:r>
      <w:r w:rsidR="00ED1C8C" w:rsidRPr="00E927B5">
        <w:t xml:space="preserve"> traffic patterns, mapped </w:t>
      </w:r>
      <w:r w:rsidR="004476D6" w:rsidRPr="00E927B5">
        <w:t xml:space="preserve">the </w:t>
      </w:r>
      <w:r w:rsidR="00ED1C8C" w:rsidRPr="00E927B5">
        <w:t xml:space="preserve">traffic </w:t>
      </w:r>
      <w:r w:rsidR="004476D6" w:rsidRPr="00E927B5">
        <w:t xml:space="preserve">movements </w:t>
      </w:r>
      <w:r w:rsidR="0043329E">
        <w:t>of every vessel,</w:t>
      </w:r>
      <w:r w:rsidR="00165E4B" w:rsidRPr="00E927B5">
        <w:t xml:space="preserve"> </w:t>
      </w:r>
      <w:r w:rsidR="0043329E">
        <w:t xml:space="preserve">modelled </w:t>
      </w:r>
      <w:r w:rsidR="00165E4B" w:rsidRPr="00E927B5">
        <w:t xml:space="preserve">the </w:t>
      </w:r>
      <w:r w:rsidR="00ED1C8C" w:rsidRPr="00E927B5">
        <w:t xml:space="preserve">cargo on board </w:t>
      </w:r>
      <w:r w:rsidR="00165E4B" w:rsidRPr="00E927B5">
        <w:t xml:space="preserve">and </w:t>
      </w:r>
      <w:r w:rsidR="00ED1C8C" w:rsidRPr="00E927B5">
        <w:t xml:space="preserve">combined </w:t>
      </w:r>
      <w:r w:rsidR="00165E4B" w:rsidRPr="00E927B5">
        <w:t xml:space="preserve">this </w:t>
      </w:r>
      <w:r w:rsidR="00ED1C8C" w:rsidRPr="00E927B5">
        <w:t xml:space="preserve">with </w:t>
      </w:r>
      <w:r w:rsidR="004476D6" w:rsidRPr="00E927B5">
        <w:t xml:space="preserve">the </w:t>
      </w:r>
      <w:r w:rsidR="000B4139">
        <w:t xml:space="preserve">accident model. The project </w:t>
      </w:r>
      <w:r w:rsidR="00E927B5">
        <w:t xml:space="preserve">collected data on </w:t>
      </w:r>
      <w:r w:rsidR="00ED1C8C" w:rsidRPr="00E927B5">
        <w:t>accident</w:t>
      </w:r>
      <w:r w:rsidR="00E927B5">
        <w:t xml:space="preserve">s and </w:t>
      </w:r>
      <w:r w:rsidR="00747A4C">
        <w:t xml:space="preserve">calculated </w:t>
      </w:r>
      <w:r w:rsidR="00E927B5">
        <w:t>spill</w:t>
      </w:r>
      <w:r w:rsidR="00ED1C8C" w:rsidRPr="00E927B5">
        <w:t xml:space="preserve"> freq</w:t>
      </w:r>
      <w:r w:rsidR="00BC7743" w:rsidRPr="00E927B5">
        <w:t>uenc</w:t>
      </w:r>
      <w:r w:rsidR="00E927B5">
        <w:t>ies</w:t>
      </w:r>
      <w:r w:rsidR="00165E4B" w:rsidRPr="00E927B5">
        <w:t>, the magnitude of spills</w:t>
      </w:r>
      <w:r w:rsidR="00E927B5">
        <w:t xml:space="preserve"> and </w:t>
      </w:r>
      <w:r w:rsidR="00165E4B" w:rsidRPr="00E927B5">
        <w:t>the likely</w:t>
      </w:r>
      <w:r w:rsidR="00ED1C8C" w:rsidRPr="00E927B5">
        <w:t xml:space="preserve"> location</w:t>
      </w:r>
      <w:r w:rsidR="00165E4B" w:rsidRPr="00E927B5">
        <w:t xml:space="preserve">s </w:t>
      </w:r>
      <w:r w:rsidR="00E927B5">
        <w:t>resulting in</w:t>
      </w:r>
      <w:r w:rsidR="0043329E">
        <w:t xml:space="preserve"> a spill probability map</w:t>
      </w:r>
      <w:r w:rsidR="00F64512" w:rsidRPr="00E927B5">
        <w:t xml:space="preserve">. </w:t>
      </w:r>
      <w:r w:rsidR="00896774" w:rsidRPr="00E927B5">
        <w:t xml:space="preserve">The resulting picture showed a high probability of spills in the </w:t>
      </w:r>
      <w:r w:rsidR="0043329E">
        <w:t>main shipping routes including</w:t>
      </w:r>
      <w:r w:rsidR="00747A4C">
        <w:t xml:space="preserve"> t</w:t>
      </w:r>
      <w:r w:rsidR="0043329E">
        <w:t>h</w:t>
      </w:r>
      <w:r w:rsidR="00747A4C">
        <w:t>e</w:t>
      </w:r>
      <w:r w:rsidR="0043329E">
        <w:t xml:space="preserve"> </w:t>
      </w:r>
      <w:r w:rsidR="00896774" w:rsidRPr="00E927B5">
        <w:t>Dover Strait</w:t>
      </w:r>
      <w:r w:rsidR="00747A4C">
        <w:t>s</w:t>
      </w:r>
      <w:r w:rsidR="00896774" w:rsidRPr="00E927B5">
        <w:t xml:space="preserve"> and the</w:t>
      </w:r>
      <w:r w:rsidR="0043329E">
        <w:t xml:space="preserve"> route to the Baltic Sea</w:t>
      </w:r>
      <w:r w:rsidR="00896774" w:rsidRPr="00E927B5">
        <w:t>, as well as some regional hot spots.</w:t>
      </w:r>
      <w:r w:rsidR="00F64512" w:rsidRPr="00E927B5">
        <w:t xml:space="preserve"> </w:t>
      </w:r>
    </w:p>
    <w:p w14:paraId="640F8BA2" w14:textId="77777777" w:rsidR="006D3269" w:rsidRDefault="00DD21AF" w:rsidP="005B6ACC">
      <w:pPr>
        <w:autoSpaceDE w:val="0"/>
        <w:autoSpaceDN w:val="0"/>
        <w:adjustRightInd w:val="0"/>
        <w:spacing w:before="120" w:after="120" w:line="280" w:lineRule="atLeast"/>
        <w:jc w:val="both"/>
      </w:pPr>
      <w:r>
        <w:t>2.2</w:t>
      </w:r>
      <w:r>
        <w:tab/>
        <w:t>BE-AWARE II</w:t>
      </w:r>
      <w:r w:rsidR="00952A56" w:rsidRPr="00E927B5">
        <w:t xml:space="preserve"> had held</w:t>
      </w:r>
      <w:r w:rsidR="00BC0E7B" w:rsidRPr="00E927B5">
        <w:t xml:space="preserve"> a workshop on </w:t>
      </w:r>
      <w:r w:rsidR="000A777E">
        <w:t xml:space="preserve">Environmental and Socio-economic Sensitivity Ranking </w:t>
      </w:r>
      <w:r w:rsidR="000A777E">
        <w:rPr>
          <w:rFonts w:ascii="Calibri" w:hAnsi="Calibri" w:cs="Calibri"/>
        </w:rPr>
        <w:t xml:space="preserve">workshop in September 2014. The aim of the workshop </w:t>
      </w:r>
      <w:r w:rsidR="00AE2DEE">
        <w:rPr>
          <w:rFonts w:ascii="Calibri" w:hAnsi="Calibri" w:cs="Calibri"/>
        </w:rPr>
        <w:t xml:space="preserve">had been </w:t>
      </w:r>
      <w:r>
        <w:rPr>
          <w:rFonts w:ascii="Calibri" w:hAnsi="Calibri" w:cs="Calibri"/>
        </w:rPr>
        <w:t xml:space="preserve">to agree the ranking of the </w:t>
      </w:r>
      <w:r w:rsidR="000A777E">
        <w:rPr>
          <w:rFonts w:ascii="Calibri" w:hAnsi="Calibri" w:cs="Calibri"/>
        </w:rPr>
        <w:t xml:space="preserve">sensitivity of identified environmental and socioeconomic features (sandy beaches, fish spawning grounds, protected areas, sea grass meadows, tourism and recreations areas, ports etc.) according to the criteria developed by </w:t>
      </w:r>
      <w:r w:rsidR="000A777E">
        <w:rPr>
          <w:rFonts w:ascii="Calibri" w:hAnsi="Calibri" w:cs="Calibri"/>
        </w:rPr>
        <w:lastRenderedPageBreak/>
        <w:t xml:space="preserve">BE-AWARE I. </w:t>
      </w:r>
      <w:r w:rsidR="00952A56" w:rsidRPr="00E927B5">
        <w:t xml:space="preserve">This was done for </w:t>
      </w:r>
      <w:r w:rsidR="00C771A1" w:rsidRPr="00E927B5">
        <w:t xml:space="preserve">oil on </w:t>
      </w:r>
      <w:r w:rsidR="00952A56" w:rsidRPr="00E927B5">
        <w:t xml:space="preserve">the </w:t>
      </w:r>
      <w:r>
        <w:t xml:space="preserve">water </w:t>
      </w:r>
      <w:r w:rsidR="00952A56" w:rsidRPr="00E927B5">
        <w:t xml:space="preserve">and </w:t>
      </w:r>
      <w:r>
        <w:t xml:space="preserve">dispersed </w:t>
      </w:r>
      <w:r w:rsidR="00952A56" w:rsidRPr="00E927B5">
        <w:t>oil</w:t>
      </w:r>
      <w:r w:rsidR="00C771A1" w:rsidRPr="00E927B5">
        <w:t xml:space="preserve"> for the </w:t>
      </w:r>
      <w:r w:rsidR="00952A56" w:rsidRPr="00E927B5">
        <w:t>four</w:t>
      </w:r>
      <w:r w:rsidR="00C771A1" w:rsidRPr="00E927B5">
        <w:t xml:space="preserve"> seasons</w:t>
      </w:r>
      <w:r w:rsidR="000A777E">
        <w:t xml:space="preserve"> of the year</w:t>
      </w:r>
      <w:r w:rsidR="00C771A1" w:rsidRPr="00E927B5">
        <w:t>.</w:t>
      </w:r>
      <w:r w:rsidR="000A777E">
        <w:t xml:space="preserve"> </w:t>
      </w:r>
      <w:r w:rsidR="003175A5" w:rsidRPr="00E927B5">
        <w:t xml:space="preserve">The </w:t>
      </w:r>
      <w:r>
        <w:t xml:space="preserve">individual feature </w:t>
      </w:r>
      <w:r w:rsidR="003175A5" w:rsidRPr="00E927B5">
        <w:t>m</w:t>
      </w:r>
      <w:r w:rsidR="00265C55" w:rsidRPr="00E927B5">
        <w:t xml:space="preserve">aps </w:t>
      </w:r>
      <w:r w:rsidR="003175A5" w:rsidRPr="00E927B5">
        <w:t>wer</w:t>
      </w:r>
      <w:r>
        <w:t xml:space="preserve">e then combined </w:t>
      </w:r>
      <w:r w:rsidR="003175A5" w:rsidRPr="00E927B5">
        <w:t xml:space="preserve">giving </w:t>
      </w:r>
      <w:r w:rsidR="00265C55" w:rsidRPr="00E927B5">
        <w:t xml:space="preserve">8 </w:t>
      </w:r>
      <w:r>
        <w:t xml:space="preserve">overall vulnerability </w:t>
      </w:r>
      <w:r w:rsidR="00265C55" w:rsidRPr="00E927B5">
        <w:t xml:space="preserve">maps for </w:t>
      </w:r>
      <w:r>
        <w:t>Bonn Agreement region</w:t>
      </w:r>
      <w:r w:rsidR="00265C55" w:rsidRPr="00E927B5">
        <w:t xml:space="preserve">. </w:t>
      </w:r>
    </w:p>
    <w:p w14:paraId="436CADA1" w14:textId="45FCD6FC" w:rsidR="00CE3322" w:rsidRDefault="006D3269" w:rsidP="005B6ACC">
      <w:pPr>
        <w:autoSpaceDE w:val="0"/>
        <w:autoSpaceDN w:val="0"/>
        <w:adjustRightInd w:val="0"/>
        <w:spacing w:before="120" w:after="120" w:line="280" w:lineRule="atLeast"/>
        <w:jc w:val="both"/>
      </w:pPr>
      <w:r>
        <w:t>2.3</w:t>
      </w:r>
      <w:r>
        <w:tab/>
        <w:t xml:space="preserve">The vulnerability maps were then combined with the oil spill and response modelling results, expressed in the oil impact of oil on the water, dispersed oil and oil on the coast, to provide </w:t>
      </w:r>
      <w:r w:rsidR="00747A4C">
        <w:t xml:space="preserve">environmental and socioeconomic </w:t>
      </w:r>
      <w:r>
        <w:t xml:space="preserve">damage maps for the region. </w:t>
      </w:r>
      <w:r w:rsidR="00747A4C">
        <w:t>The damage (in g oil/km</w:t>
      </w:r>
      <w:r w:rsidR="00747A4C" w:rsidRPr="00747A4C">
        <w:rPr>
          <w:vertAlign w:val="superscript"/>
        </w:rPr>
        <w:t>2</w:t>
      </w:r>
      <w:r w:rsidR="00747A4C">
        <w:t xml:space="preserve"> weighted) </w:t>
      </w:r>
      <w:r w:rsidR="00CE3322">
        <w:t>was</w:t>
      </w:r>
      <w:r w:rsidR="00CE3322" w:rsidRPr="00E927B5">
        <w:t xml:space="preserve"> </w:t>
      </w:r>
      <w:r w:rsidR="00747A4C">
        <w:t xml:space="preserve">then </w:t>
      </w:r>
      <w:r w:rsidR="00CE3322" w:rsidRPr="00E927B5">
        <w:t xml:space="preserve">used to evaluate </w:t>
      </w:r>
      <w:r>
        <w:t xml:space="preserve">and rank </w:t>
      </w:r>
      <w:r w:rsidR="00CE3322" w:rsidRPr="00E927B5">
        <w:t>the scenarios</w:t>
      </w:r>
      <w:r w:rsidR="00553A43">
        <w:t xml:space="preserve"> in each of the project sub-</w:t>
      </w:r>
      <w:r>
        <w:t>regions</w:t>
      </w:r>
      <w:r w:rsidR="00CE3322">
        <w:t>.</w:t>
      </w:r>
    </w:p>
    <w:p w14:paraId="3B4DC2EB" w14:textId="77777777" w:rsidR="004715D0" w:rsidRPr="006D3269" w:rsidRDefault="006D3269" w:rsidP="006D3269">
      <w:pPr>
        <w:keepNext/>
        <w:spacing w:before="240" w:after="0" w:line="280" w:lineRule="atLeast"/>
        <w:rPr>
          <w:b/>
          <w:sz w:val="26"/>
          <w:szCs w:val="26"/>
        </w:rPr>
      </w:pPr>
      <w:r w:rsidRPr="006D3269">
        <w:rPr>
          <w:b/>
          <w:sz w:val="26"/>
          <w:szCs w:val="26"/>
        </w:rPr>
        <w:t>3.</w:t>
      </w:r>
      <w:r w:rsidRPr="006D3269">
        <w:rPr>
          <w:b/>
          <w:sz w:val="26"/>
          <w:szCs w:val="26"/>
        </w:rPr>
        <w:tab/>
      </w:r>
      <w:r w:rsidR="004715D0" w:rsidRPr="006D3269">
        <w:rPr>
          <w:b/>
          <w:sz w:val="26"/>
          <w:szCs w:val="26"/>
        </w:rPr>
        <w:t>Scenarios</w:t>
      </w:r>
    </w:p>
    <w:p w14:paraId="313B8B83" w14:textId="56702A5F" w:rsidR="002E0514" w:rsidRDefault="005B6ACC" w:rsidP="006D3269">
      <w:pPr>
        <w:spacing w:before="120" w:line="280" w:lineRule="atLeast"/>
        <w:jc w:val="both"/>
      </w:pPr>
      <w:r>
        <w:t>3.1</w:t>
      </w:r>
      <w:r>
        <w:tab/>
        <w:t>COWI explained the</w:t>
      </w:r>
      <w:r w:rsidR="00AE2DEE">
        <w:t xml:space="preserve"> </w:t>
      </w:r>
      <w:r w:rsidR="00E75C37">
        <w:t>base case</w:t>
      </w:r>
      <w:r w:rsidR="00AE2DEE">
        <w:t xml:space="preserve"> </w:t>
      </w:r>
      <w:r>
        <w:t xml:space="preserve">scenario for 2020, which included </w:t>
      </w:r>
      <w:r w:rsidR="004536E0">
        <w:t xml:space="preserve">all </w:t>
      </w:r>
      <w:r>
        <w:t xml:space="preserve">the </w:t>
      </w:r>
      <w:r w:rsidR="00DF1686">
        <w:t>risk reducin</w:t>
      </w:r>
      <w:r w:rsidR="004E2D77">
        <w:t>g and response measure</w:t>
      </w:r>
      <w:r w:rsidR="004536E0">
        <w:t>s</w:t>
      </w:r>
      <w:r w:rsidR="004E2D77">
        <w:t xml:space="preserve"> in place,</w:t>
      </w:r>
      <w:r w:rsidR="00DF1686">
        <w:t xml:space="preserve"> or planned to be</w:t>
      </w:r>
      <w:r w:rsidR="004E2D77">
        <w:t>,</w:t>
      </w:r>
      <w:r w:rsidR="00DF1686">
        <w:t xml:space="preserve"> before 2020. They then</w:t>
      </w:r>
      <w:r w:rsidR="002E0514">
        <w:t xml:space="preserve"> gave an overview of the </w:t>
      </w:r>
      <w:r w:rsidR="00DF1686">
        <w:t xml:space="preserve">future </w:t>
      </w:r>
      <w:r w:rsidR="002E0514">
        <w:t>scenarios</w:t>
      </w:r>
      <w:r w:rsidR="00DF1686">
        <w:t xml:space="preserve"> which were assessed in the project</w:t>
      </w:r>
      <w:r w:rsidR="002E0514">
        <w:t>: VTS, TSS, AIS alarms</w:t>
      </w:r>
      <w:r w:rsidR="00A117C8">
        <w:t xml:space="preserve"> in wind farms</w:t>
      </w:r>
      <w:r w:rsidR="002E0514">
        <w:t xml:space="preserve">, </w:t>
      </w:r>
      <w:r w:rsidR="005677B0">
        <w:t>E</w:t>
      </w:r>
      <w:r w:rsidR="002E0514">
        <w:t>-navigation,</w:t>
      </w:r>
      <w:r w:rsidR="00A117C8">
        <w:t xml:space="preserve"> new</w:t>
      </w:r>
      <w:r w:rsidR="002E0514">
        <w:t xml:space="preserve"> ETVs</w:t>
      </w:r>
      <w:r w:rsidR="00A117C8">
        <w:t xml:space="preserve"> in Ireland</w:t>
      </w:r>
      <w:r w:rsidR="002E0514">
        <w:t xml:space="preserve">, </w:t>
      </w:r>
      <w:r w:rsidR="00A117C8">
        <w:t xml:space="preserve">increased </w:t>
      </w:r>
      <w:r w:rsidR="002E0514">
        <w:t>night visibility</w:t>
      </w:r>
      <w:r w:rsidR="00A117C8">
        <w:t xml:space="preserve"> capacity</w:t>
      </w:r>
      <w:r w:rsidR="002E0514">
        <w:t>, further use of dispersants</w:t>
      </w:r>
      <w:r w:rsidR="000B4139">
        <w:t xml:space="preserve"> and </w:t>
      </w:r>
      <w:r w:rsidR="002E0514">
        <w:t xml:space="preserve">50% increase in response equipment.  </w:t>
      </w:r>
      <w:r w:rsidR="00A117C8">
        <w:t>Each scenario change</w:t>
      </w:r>
      <w:r w:rsidR="000B4139">
        <w:t>d</w:t>
      </w:r>
      <w:r w:rsidR="00A117C8">
        <w:t xml:space="preserve"> </w:t>
      </w:r>
      <w:proofErr w:type="gramStart"/>
      <w:r w:rsidR="00751F76">
        <w:t xml:space="preserve">either </w:t>
      </w:r>
      <w:r w:rsidR="00A117C8">
        <w:t>the risk level and</w:t>
      </w:r>
      <w:proofErr w:type="gramEnd"/>
      <w:r w:rsidR="00A117C8">
        <w:t xml:space="preserve"> the un</w:t>
      </w:r>
      <w:r w:rsidR="004715D0">
        <w:t>derlying frequency of accidents</w:t>
      </w:r>
      <w:r w:rsidR="00751F76">
        <w:t>, or improved the underlying response.</w:t>
      </w:r>
    </w:p>
    <w:p w14:paraId="5463E7C5" w14:textId="77777777" w:rsidR="00F77AEB" w:rsidRPr="00E927B5" w:rsidRDefault="00DF1686" w:rsidP="006D3269">
      <w:pPr>
        <w:spacing w:before="120" w:line="280" w:lineRule="atLeast"/>
        <w:jc w:val="both"/>
      </w:pPr>
      <w:r>
        <w:t>3.2</w:t>
      </w:r>
      <w:r>
        <w:tab/>
        <w:t xml:space="preserve">COWI outlined the </w:t>
      </w:r>
      <w:r w:rsidR="00E36E61">
        <w:t>results for the full Bonn Agreement area</w:t>
      </w:r>
      <w:r>
        <w:t>. I</w:t>
      </w:r>
      <w:r w:rsidR="00E36E61">
        <w:t xml:space="preserve">n </w:t>
      </w:r>
      <w:r w:rsidR="00FC7ECD" w:rsidRPr="00E927B5">
        <w:t>the VTS sc</w:t>
      </w:r>
      <w:r w:rsidR="00F77AEB" w:rsidRPr="00E927B5">
        <w:t>enario</w:t>
      </w:r>
      <w:r w:rsidR="00FC7ECD" w:rsidRPr="00E927B5">
        <w:t xml:space="preserve"> </w:t>
      </w:r>
      <w:r w:rsidR="00E36E61">
        <w:t xml:space="preserve">there was a 17% reduction of oil on water; in the dispersants </w:t>
      </w:r>
      <w:r>
        <w:t xml:space="preserve">only response </w:t>
      </w:r>
      <w:r w:rsidR="00E36E61">
        <w:t xml:space="preserve">scenario there was an increase </w:t>
      </w:r>
      <w:r w:rsidR="00F77AEB" w:rsidRPr="00E927B5">
        <w:t>in oil on water</w:t>
      </w:r>
      <w:r w:rsidR="00F65681">
        <w:t xml:space="preserve"> and there was </w:t>
      </w:r>
      <w:r w:rsidR="00D2360F">
        <w:t xml:space="preserve">a detrimental </w:t>
      </w:r>
      <w:r w:rsidR="00F65681">
        <w:t xml:space="preserve">effect </w:t>
      </w:r>
      <w:r w:rsidR="004715D0">
        <w:t>from</w:t>
      </w:r>
      <w:r w:rsidR="00F65681">
        <w:t xml:space="preserve"> using dispersants </w:t>
      </w:r>
      <w:r w:rsidR="00D2360F">
        <w:t xml:space="preserve">only </w:t>
      </w:r>
      <w:r w:rsidR="00F65681">
        <w:t>in the full area</w:t>
      </w:r>
      <w:r w:rsidR="00B61B2E">
        <w:t>. T</w:t>
      </w:r>
      <w:r w:rsidR="00E36E61">
        <w:t xml:space="preserve">here </w:t>
      </w:r>
      <w:r w:rsidR="0045149F">
        <w:t>wa</w:t>
      </w:r>
      <w:r w:rsidR="00B61B2E">
        <w:t>s</w:t>
      </w:r>
      <w:r w:rsidR="00E36E61">
        <w:t xml:space="preserve"> little effect t</w:t>
      </w:r>
      <w:r w:rsidR="0045149F">
        <w:t xml:space="preserve">o the whole are from </w:t>
      </w:r>
      <w:r w:rsidR="00B61B2E">
        <w:t>the new ETV</w:t>
      </w:r>
      <w:r w:rsidR="000B4139">
        <w:t xml:space="preserve"> in Ireland</w:t>
      </w:r>
      <w:r w:rsidR="00B61B2E">
        <w:t xml:space="preserve">, as expected given its operational area, and </w:t>
      </w:r>
      <w:r w:rsidR="00F65681">
        <w:t>increasing</w:t>
      </w:r>
      <w:r w:rsidR="0097630A" w:rsidRPr="00E927B5">
        <w:t xml:space="preserve"> usable response equipment </w:t>
      </w:r>
      <w:r w:rsidR="00F65681">
        <w:t xml:space="preserve">by 50% </w:t>
      </w:r>
      <w:r w:rsidR="0097630A" w:rsidRPr="00E927B5">
        <w:t xml:space="preserve">for the full region </w:t>
      </w:r>
      <w:r w:rsidR="00F65681">
        <w:t xml:space="preserve">would </w:t>
      </w:r>
      <w:r w:rsidR="0097630A" w:rsidRPr="00E927B5">
        <w:t xml:space="preserve">not </w:t>
      </w:r>
      <w:r w:rsidR="00F65681">
        <w:t xml:space="preserve">make </w:t>
      </w:r>
      <w:r w:rsidR="0097630A" w:rsidRPr="00E927B5">
        <w:t>much difference.</w:t>
      </w:r>
    </w:p>
    <w:p w14:paraId="17BF5FD6" w14:textId="26F8731E" w:rsidR="002F26A0" w:rsidRPr="00E927B5" w:rsidRDefault="00B61B2E" w:rsidP="006D3269">
      <w:pPr>
        <w:spacing w:before="120" w:line="280" w:lineRule="atLeast"/>
        <w:jc w:val="both"/>
      </w:pPr>
      <w:r>
        <w:t>3.3</w:t>
      </w:r>
      <w:r>
        <w:tab/>
      </w:r>
      <w:r w:rsidR="00F65681">
        <w:t xml:space="preserve">Germany noted that </w:t>
      </w:r>
      <w:r w:rsidR="005677B0">
        <w:t>E</w:t>
      </w:r>
      <w:r w:rsidR="00F65681">
        <w:t>-navigation g</w:t>
      </w:r>
      <w:r w:rsidR="00550708">
        <w:t>ave</w:t>
      </w:r>
      <w:r w:rsidR="00F65681">
        <w:t xml:space="preserve"> the </w:t>
      </w:r>
      <w:r w:rsidR="002F26A0" w:rsidRPr="00E927B5">
        <w:t>biggest effect in reducing oil</w:t>
      </w:r>
      <w:r w:rsidR="004E2D77">
        <w:t xml:space="preserve"> due to the reduction in collisions and grounding</w:t>
      </w:r>
      <w:r w:rsidR="002F26A0" w:rsidRPr="00E927B5">
        <w:t xml:space="preserve">. </w:t>
      </w:r>
      <w:r w:rsidR="00D2360F">
        <w:t xml:space="preserve">The </w:t>
      </w:r>
      <w:r w:rsidR="00F65681">
        <w:t xml:space="preserve">E-navigation </w:t>
      </w:r>
      <w:r w:rsidR="00D2360F">
        <w:t xml:space="preserve">scenario </w:t>
      </w:r>
      <w:r w:rsidR="00F65681">
        <w:t>include</w:t>
      </w:r>
      <w:r w:rsidR="00D016F7">
        <w:t>d</w:t>
      </w:r>
      <w:r w:rsidR="00F65681">
        <w:t xml:space="preserve"> a wide range of services</w:t>
      </w:r>
      <w:r w:rsidR="00EC12C7">
        <w:t xml:space="preserve"> </w:t>
      </w:r>
      <w:r w:rsidR="00D2360F">
        <w:t xml:space="preserve">as outlined </w:t>
      </w:r>
      <w:r w:rsidR="00EC12C7">
        <w:t xml:space="preserve">in the </w:t>
      </w:r>
      <w:r w:rsidR="00D2360F">
        <w:t>report to the IMO NAV 59 meeting</w:t>
      </w:r>
      <w:r>
        <w:rPr>
          <w:rStyle w:val="FootnoteReference"/>
        </w:rPr>
        <w:footnoteReference w:id="1"/>
      </w:r>
      <w:r w:rsidR="002F26A0" w:rsidRPr="00E927B5">
        <w:t>.</w:t>
      </w:r>
      <w:r w:rsidR="004A1C71" w:rsidRPr="00E927B5">
        <w:t xml:space="preserve"> </w:t>
      </w:r>
      <w:r>
        <w:t>Norway question</w:t>
      </w:r>
      <w:r w:rsidR="005C2AFB">
        <w:t>ed</w:t>
      </w:r>
      <w:r>
        <w:t xml:space="preserve"> why night vision capability </w:t>
      </w:r>
      <w:r w:rsidR="00D2360F">
        <w:t xml:space="preserve">only gave a small improvement. COWI explained that for smaller spills there was a limit to the number of vessels that could respond to an incident. Therefore if there </w:t>
      </w:r>
      <w:r w:rsidR="00324271">
        <w:t>w</w:t>
      </w:r>
      <w:r w:rsidR="005677B0">
        <w:t>as</w:t>
      </w:r>
      <w:r w:rsidR="00D2360F">
        <w:t xml:space="preserve"> already night vision </w:t>
      </w:r>
      <w:r w:rsidR="00324271">
        <w:t xml:space="preserve">capability </w:t>
      </w:r>
      <w:r w:rsidR="00D2360F">
        <w:t>on vessels in the area the additional capability would not improve the situation markedly.</w:t>
      </w:r>
    </w:p>
    <w:p w14:paraId="23CC6478" w14:textId="6F1D16F7" w:rsidR="009C2BDD" w:rsidRPr="00E927B5" w:rsidRDefault="00324271" w:rsidP="00324271">
      <w:pPr>
        <w:spacing w:before="120" w:line="280" w:lineRule="atLeast"/>
        <w:jc w:val="both"/>
      </w:pPr>
      <w:r>
        <w:t>3.4</w:t>
      </w:r>
      <w:r>
        <w:tab/>
      </w:r>
      <w:r w:rsidR="006618DB" w:rsidRPr="00E927B5">
        <w:t xml:space="preserve">The workshop considered the </w:t>
      </w:r>
      <w:r w:rsidR="009C2BDD" w:rsidRPr="00E927B5">
        <w:t>cost</w:t>
      </w:r>
      <w:r w:rsidR="006618DB" w:rsidRPr="00E927B5">
        <w:t>s</w:t>
      </w:r>
      <w:r w:rsidR="009C2BDD" w:rsidRPr="00E927B5">
        <w:t xml:space="preserve"> </w:t>
      </w:r>
      <w:r w:rsidR="006618DB" w:rsidRPr="00E927B5">
        <w:t xml:space="preserve">for the </w:t>
      </w:r>
      <w:r w:rsidR="009C2BDD" w:rsidRPr="00E927B5">
        <w:t>scenario</w:t>
      </w:r>
      <w:r w:rsidR="006618DB" w:rsidRPr="00E927B5">
        <w:t>s</w:t>
      </w:r>
      <w:r w:rsidR="009C2BDD" w:rsidRPr="00E927B5">
        <w:t xml:space="preserve">. </w:t>
      </w:r>
      <w:r w:rsidR="006618DB" w:rsidRPr="00E927B5">
        <w:t>Each scenario re</w:t>
      </w:r>
      <w:r>
        <w:t>presented a combination of efficiency (cost) and effectiveness (reduction in damage)</w:t>
      </w:r>
      <w:r w:rsidR="00EC12C7">
        <w:t xml:space="preserve"> allowing the </w:t>
      </w:r>
      <w:r w:rsidR="006618DB" w:rsidRPr="00E927B5">
        <w:t>benefit per euro invested</w:t>
      </w:r>
      <w:r w:rsidR="00EC12C7">
        <w:t xml:space="preserve"> to be calculated.</w:t>
      </w:r>
      <w:r w:rsidR="009C2BDD" w:rsidRPr="00E927B5">
        <w:t xml:space="preserve"> </w:t>
      </w:r>
      <w:r w:rsidR="005C2AFB">
        <w:t>COWI highlighted that the costs for E-Navigation also included the cost of installing equipment on the vessels and therefore were particularly high in comparison to the other scenarios.</w:t>
      </w:r>
      <w:r w:rsidR="00550EB9" w:rsidRPr="00550EB9">
        <w:t xml:space="preserve"> </w:t>
      </w:r>
      <w:r w:rsidR="00550EB9">
        <w:t xml:space="preserve">Also </w:t>
      </w:r>
      <w:r w:rsidR="00E029CC">
        <w:t>parts of the costs were</w:t>
      </w:r>
      <w:r w:rsidR="00550EB9">
        <w:t xml:space="preserve"> to be carried by the ship owners and were</w:t>
      </w:r>
      <w:r w:rsidR="00E029CC">
        <w:t xml:space="preserve"> therefore </w:t>
      </w:r>
      <w:r w:rsidR="00550EB9">
        <w:t>not to be paid by maritime authorities.</w:t>
      </w:r>
      <w:r w:rsidR="005C2AFB">
        <w:t xml:space="preserve"> </w:t>
      </w:r>
    </w:p>
    <w:p w14:paraId="3263FFC3" w14:textId="5215B158" w:rsidR="00FC73A8" w:rsidRPr="005C2AFB" w:rsidRDefault="00553A43" w:rsidP="00E029CC">
      <w:pPr>
        <w:keepNext/>
        <w:spacing w:before="120" w:line="280" w:lineRule="atLeast"/>
        <w:rPr>
          <w:b/>
          <w:sz w:val="26"/>
          <w:szCs w:val="26"/>
        </w:rPr>
      </w:pPr>
      <w:bookmarkStart w:id="1" w:name="OLE_LINK1"/>
      <w:r>
        <w:rPr>
          <w:b/>
          <w:sz w:val="26"/>
          <w:szCs w:val="26"/>
        </w:rPr>
        <w:lastRenderedPageBreak/>
        <w:t xml:space="preserve">4. </w:t>
      </w:r>
      <w:r>
        <w:rPr>
          <w:b/>
          <w:sz w:val="26"/>
          <w:szCs w:val="26"/>
        </w:rPr>
        <w:tab/>
        <w:t>Sub-</w:t>
      </w:r>
      <w:r w:rsidR="005C2AFB" w:rsidRPr="005C2AFB">
        <w:rPr>
          <w:b/>
          <w:sz w:val="26"/>
          <w:szCs w:val="26"/>
        </w:rPr>
        <w:t>Regional Results</w:t>
      </w:r>
    </w:p>
    <w:p w14:paraId="220489A0" w14:textId="54C79CF7" w:rsidR="00965938" w:rsidRPr="00965938" w:rsidRDefault="00170138" w:rsidP="00170138">
      <w:pPr>
        <w:keepNext/>
        <w:spacing w:before="120" w:line="280" w:lineRule="atLeast"/>
        <w:jc w:val="both"/>
      </w:pPr>
      <w:r>
        <w:t>4.1</w:t>
      </w:r>
      <w:r>
        <w:tab/>
      </w:r>
      <w:r w:rsidR="00965938">
        <w:t xml:space="preserve">COWI outlined the </w:t>
      </w:r>
      <w:r>
        <w:t>results for each of the individual sub</w:t>
      </w:r>
      <w:r w:rsidR="00553A43">
        <w:t>-</w:t>
      </w:r>
      <w:r>
        <w:t>regions (see Annex 1) including the provisional ranking</w:t>
      </w:r>
      <w:r w:rsidR="00E029CC">
        <w:t>.</w:t>
      </w:r>
      <w:r w:rsidR="00E029CC" w:rsidRPr="00E029CC">
        <w:t xml:space="preserve"> </w:t>
      </w:r>
      <w:r w:rsidR="00E029CC">
        <w:t>They also highlighted t</w:t>
      </w:r>
      <w:r w:rsidR="00E029CC" w:rsidRPr="007E67EE">
        <w:t xml:space="preserve">he </w:t>
      </w:r>
      <w:r w:rsidR="00E029CC">
        <w:t>terms “effectiveness”, which was used to describe the reduced amount of oil present in the marine environment or the reduction of environmental and socio-economic damage per scenario, and “efficiency or cost-efficiency”, which was used to describe the reduced amount of oil or damage per euro invested.</w:t>
      </w:r>
    </w:p>
    <w:p w14:paraId="2320814A" w14:textId="77777777" w:rsidR="00916CBC" w:rsidRPr="000B4139" w:rsidRDefault="002B568A" w:rsidP="006D3269">
      <w:pPr>
        <w:keepNext/>
        <w:spacing w:before="120" w:line="280" w:lineRule="atLeast"/>
        <w:rPr>
          <w:b/>
        </w:rPr>
      </w:pPr>
      <w:r w:rsidRPr="000B4139">
        <w:rPr>
          <w:b/>
        </w:rPr>
        <w:t>Sub-region 1</w:t>
      </w:r>
      <w:bookmarkEnd w:id="1"/>
      <w:r w:rsidR="00916CBC" w:rsidRPr="000B4139">
        <w:rPr>
          <w:b/>
        </w:rPr>
        <w:t>: UK and Ireland</w:t>
      </w:r>
    </w:p>
    <w:p w14:paraId="310CB645" w14:textId="6F5FB4C3" w:rsidR="002B568A" w:rsidRDefault="00662D7F" w:rsidP="006D3269">
      <w:pPr>
        <w:spacing w:before="120" w:line="280" w:lineRule="atLeast"/>
        <w:jc w:val="both"/>
      </w:pPr>
      <w:r>
        <w:t>4.2</w:t>
      </w:r>
      <w:r>
        <w:tab/>
        <w:t>COWI highlighted that i</w:t>
      </w:r>
      <w:r w:rsidR="003D40FA" w:rsidRPr="00E927B5">
        <w:t xml:space="preserve">n terms of </w:t>
      </w:r>
      <w:r w:rsidR="002B568A" w:rsidRPr="00E927B5">
        <w:t xml:space="preserve">effectiveness </w:t>
      </w:r>
      <w:r w:rsidR="00170138">
        <w:t xml:space="preserve">in reducing </w:t>
      </w:r>
      <w:r w:rsidR="00F50C7E">
        <w:t>environmental and socioeconomic damage</w:t>
      </w:r>
      <w:r w:rsidR="00550708">
        <w:t xml:space="preserve">, </w:t>
      </w:r>
      <w:r w:rsidR="003D40FA" w:rsidRPr="00E927B5">
        <w:t>e</w:t>
      </w:r>
      <w:r w:rsidR="003D40FA" w:rsidRPr="00E927B5">
        <w:noBreakHyphen/>
        <w:t>navigation</w:t>
      </w:r>
      <w:r w:rsidR="00344BF1" w:rsidRPr="00E927B5">
        <w:t xml:space="preserve"> wa</w:t>
      </w:r>
      <w:r w:rsidR="003D40FA" w:rsidRPr="00E927B5">
        <w:t xml:space="preserve">s the most effective scenario and </w:t>
      </w:r>
      <w:r w:rsidR="004E2D77">
        <w:t xml:space="preserve">the use of </w:t>
      </w:r>
      <w:r w:rsidR="003D40FA" w:rsidRPr="00E927B5">
        <w:t>dispersants</w:t>
      </w:r>
      <w:r w:rsidR="004E2D77">
        <w:t xml:space="preserve"> only</w:t>
      </w:r>
      <w:r w:rsidR="003D40FA" w:rsidRPr="00E927B5">
        <w:t xml:space="preserve"> the </w:t>
      </w:r>
      <w:r w:rsidR="002B568A" w:rsidRPr="00E927B5">
        <w:t xml:space="preserve">least effective. </w:t>
      </w:r>
      <w:r w:rsidR="00550708">
        <w:t xml:space="preserve">TSS, AIS and 50% more </w:t>
      </w:r>
      <w:r w:rsidR="000B4139">
        <w:t xml:space="preserve">response equipment </w:t>
      </w:r>
      <w:r w:rsidR="00550708">
        <w:t>were</w:t>
      </w:r>
      <w:r w:rsidR="00023996" w:rsidRPr="00E927B5">
        <w:t xml:space="preserve"> the 3 most cost-efficient. </w:t>
      </w:r>
      <w:r>
        <w:t>The highest ranked scenarios for the</w:t>
      </w:r>
      <w:r w:rsidR="00665D20" w:rsidRPr="00E927B5">
        <w:t xml:space="preserve"> sub-region</w:t>
      </w:r>
      <w:r w:rsidR="00F2273B" w:rsidRPr="00E927B5">
        <w:t xml:space="preserve"> </w:t>
      </w:r>
      <w:r>
        <w:t xml:space="preserve">were the </w:t>
      </w:r>
      <w:r w:rsidR="00F2273B" w:rsidRPr="00E927B5">
        <w:t>TSS in Dublin Bay, AIS</w:t>
      </w:r>
      <w:r w:rsidR="00550708">
        <w:t xml:space="preserve"> alarms</w:t>
      </w:r>
      <w:r w:rsidR="00F2273B" w:rsidRPr="00E927B5">
        <w:t xml:space="preserve"> in windfarms, 50% more response capacity</w:t>
      </w:r>
      <w:r w:rsidR="00070F7C" w:rsidRPr="00E927B5">
        <w:t>, starting with the cheapest</w:t>
      </w:r>
      <w:r w:rsidR="009D7E03">
        <w:t xml:space="preserve"> respectively</w:t>
      </w:r>
      <w:r>
        <w:t>. E</w:t>
      </w:r>
      <w:r w:rsidR="00F2273B" w:rsidRPr="00E927B5">
        <w:t>-</w:t>
      </w:r>
      <w:r w:rsidR="00023996" w:rsidRPr="00E927B5">
        <w:t>navig</w:t>
      </w:r>
      <w:r w:rsidR="00F2273B" w:rsidRPr="00E927B5">
        <w:t>ation</w:t>
      </w:r>
      <w:r w:rsidR="00023996" w:rsidRPr="00E927B5">
        <w:t>, dispersants and the</w:t>
      </w:r>
      <w:r>
        <w:t xml:space="preserve"> ETV scenarios were ranked lower</w:t>
      </w:r>
      <w:r w:rsidR="00F50C7E">
        <w:t xml:space="preserve"> in terms of cost efficiency</w:t>
      </w:r>
      <w:r w:rsidR="00023996" w:rsidRPr="00E927B5">
        <w:t xml:space="preserve">. </w:t>
      </w:r>
      <w:r w:rsidR="00996F7E" w:rsidRPr="00E927B5">
        <w:t xml:space="preserve">Additional </w:t>
      </w:r>
      <w:r w:rsidR="004E2D77">
        <w:t xml:space="preserve">night vision capability </w:t>
      </w:r>
      <w:r w:rsidR="00996F7E" w:rsidRPr="00E927B5">
        <w:t>and VTS were</w:t>
      </w:r>
      <w:r w:rsidR="009D7E03">
        <w:t xml:space="preserve"> not applicable to sub-region 1,</w:t>
      </w:r>
      <w:r w:rsidR="00996F7E" w:rsidRPr="00E927B5">
        <w:t xml:space="preserve"> </w:t>
      </w:r>
      <w:r w:rsidR="009D7E03">
        <w:t>however i</w:t>
      </w:r>
      <w:r w:rsidR="00454303" w:rsidRPr="00E927B5">
        <w:t xml:space="preserve">t was noted that </w:t>
      </w:r>
      <w:r w:rsidR="009D7E03">
        <w:t xml:space="preserve">some </w:t>
      </w:r>
      <w:r w:rsidR="00454303" w:rsidRPr="00E927B5">
        <w:t>benefit without cost could be derived from a neighbour</w:t>
      </w:r>
      <w:r w:rsidR="009D7E03">
        <w:t>ing region</w:t>
      </w:r>
      <w:r w:rsidR="00FC73A8">
        <w:t>’</w:t>
      </w:r>
      <w:r w:rsidR="009D7E03">
        <w:t xml:space="preserve">s </w:t>
      </w:r>
      <w:r w:rsidR="00454303" w:rsidRPr="00E927B5">
        <w:t>scenario</w:t>
      </w:r>
      <w:r w:rsidR="009D7E03">
        <w:t xml:space="preserve"> due the spreading of oil spills</w:t>
      </w:r>
      <w:r w:rsidR="00454303" w:rsidRPr="00E927B5">
        <w:t>.</w:t>
      </w:r>
    </w:p>
    <w:p w14:paraId="4FB94C5B" w14:textId="77777777" w:rsidR="00E03001" w:rsidRPr="00E927B5" w:rsidRDefault="00E03001" w:rsidP="006D3269">
      <w:pPr>
        <w:spacing w:before="120" w:line="280" w:lineRule="atLeast"/>
        <w:jc w:val="both"/>
      </w:pPr>
      <w:r w:rsidRPr="00E03001">
        <w:rPr>
          <w:noProof/>
          <w:lang w:eastAsia="en-GB"/>
        </w:rPr>
        <w:drawing>
          <wp:inline distT="0" distB="0" distL="0" distR="0" wp14:anchorId="3DC52368" wp14:editId="4EEC2E30">
            <wp:extent cx="5945233" cy="727328"/>
            <wp:effectExtent l="0" t="0" r="0" b="952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0"/>
                    <a:stretch>
                      <a:fillRect/>
                    </a:stretch>
                  </pic:blipFill>
                  <pic:spPr>
                    <a:xfrm>
                      <a:off x="0" y="0"/>
                      <a:ext cx="5945233" cy="727328"/>
                    </a:xfrm>
                    <a:prstGeom prst="rect">
                      <a:avLst/>
                    </a:prstGeom>
                  </pic:spPr>
                </pic:pic>
              </a:graphicData>
            </a:graphic>
          </wp:inline>
        </w:drawing>
      </w:r>
    </w:p>
    <w:p w14:paraId="12B3305A" w14:textId="5E4BBA85" w:rsidR="00E03001" w:rsidRDefault="00E03001" w:rsidP="006D3269">
      <w:pPr>
        <w:spacing w:before="120" w:line="280" w:lineRule="atLeast"/>
        <w:jc w:val="both"/>
      </w:pPr>
      <w:r>
        <w:t>Figure 1: Preliminary ranking for sub-region 1</w:t>
      </w:r>
      <w:r w:rsidR="00CE520C">
        <w:t xml:space="preserve"> </w:t>
      </w:r>
      <w:r w:rsidR="00FC73A8">
        <w:t>– cost efficiency</w:t>
      </w:r>
    </w:p>
    <w:p w14:paraId="55F0374E" w14:textId="4BDFF7BF" w:rsidR="004536E0" w:rsidRPr="00E927B5" w:rsidRDefault="004536E0" w:rsidP="006D3269">
      <w:pPr>
        <w:spacing w:before="120" w:line="280" w:lineRule="atLeast"/>
        <w:jc w:val="both"/>
      </w:pPr>
      <w:r>
        <w:t>4.3</w:t>
      </w:r>
      <w:r>
        <w:tab/>
      </w:r>
      <w:r w:rsidRPr="00E927B5">
        <w:t xml:space="preserve">The UK </w:t>
      </w:r>
      <w:r>
        <w:t xml:space="preserve">questioned the negative impact of dispersants in sub-region 1 and </w:t>
      </w:r>
      <w:r w:rsidRPr="00E927B5">
        <w:t xml:space="preserve">highlighted that if dispersants were </w:t>
      </w:r>
      <w:r>
        <w:t>likely to</w:t>
      </w:r>
      <w:r w:rsidRPr="00E927B5">
        <w:t xml:space="preserve"> cause environmental damage then the regulatory authorities would not allow their use</w:t>
      </w:r>
      <w:r>
        <w:t xml:space="preserve"> in the first place</w:t>
      </w:r>
      <w:r w:rsidRPr="00E927B5">
        <w:t>.</w:t>
      </w:r>
      <w:r>
        <w:t xml:space="preserve"> Sound UK regulations on dispersant use do ensure that dispersed oil does not reach sensitive resources. COWI highlighted that Scenario 9 on dispersants was the use of dispersants only</w:t>
      </w:r>
      <w:r w:rsidR="009A2E77">
        <w:t xml:space="preserve">. It replaced the existing situation in the Bonn Agreement area where the recovery of oil was carried out primarily by dedicated oil recovery vessels. In scenario 9 no mechanical recovery was included for oil spills </w:t>
      </w:r>
      <w:proofErr w:type="gramStart"/>
      <w:r w:rsidR="009A2E77">
        <w:t>under</w:t>
      </w:r>
      <w:proofErr w:type="gramEnd"/>
      <w:r w:rsidR="009A2E77">
        <w:t xml:space="preserve"> 15,000 tonnes in the full Bonn Agreement area.</w:t>
      </w:r>
      <w:r>
        <w:t xml:space="preserve"> </w:t>
      </w:r>
      <w:r w:rsidR="009A2E77">
        <w:t>T</w:t>
      </w:r>
      <w:r>
        <w:t xml:space="preserve">he damage analysis also included the environmental impact of dispersed oil in the water column. </w:t>
      </w:r>
      <w:r w:rsidRPr="00E927B5">
        <w:t xml:space="preserve">The Secretariat </w:t>
      </w:r>
      <w:r>
        <w:t xml:space="preserve">highlighted that </w:t>
      </w:r>
      <w:r w:rsidR="00E029CC">
        <w:t>BE-</w:t>
      </w:r>
      <w:proofErr w:type="gramStart"/>
      <w:r w:rsidR="00E029CC">
        <w:t xml:space="preserve">AWARE  </w:t>
      </w:r>
      <w:r>
        <w:t>was</w:t>
      </w:r>
      <w:proofErr w:type="gramEnd"/>
      <w:r>
        <w:t xml:space="preserve"> a strategic level study looking at the effect of dispersants on all spills within the sub</w:t>
      </w:r>
      <w:r w:rsidR="00553A43">
        <w:t>-</w:t>
      </w:r>
      <w:r>
        <w:t xml:space="preserve">region. This did not mean that dispersants could not be the most suitable response in relation to individual spills depending upon the situation. COWI agreed to add a clear explanation of the scenario and results for </w:t>
      </w:r>
      <w:r w:rsidR="009A2E77">
        <w:t>S</w:t>
      </w:r>
      <w:r>
        <w:t xml:space="preserve">cenario </w:t>
      </w:r>
      <w:r w:rsidR="009A2E77">
        <w:t xml:space="preserve">9 </w:t>
      </w:r>
      <w:r>
        <w:t>on dispersants only in the final report.</w:t>
      </w:r>
    </w:p>
    <w:p w14:paraId="23865F3D" w14:textId="77777777" w:rsidR="00E43AE8" w:rsidRPr="00E927B5" w:rsidRDefault="00E376F0" w:rsidP="00E376F0">
      <w:pPr>
        <w:spacing w:before="120" w:line="280" w:lineRule="atLeast"/>
        <w:jc w:val="both"/>
      </w:pPr>
      <w:r>
        <w:t>4.4</w:t>
      </w:r>
      <w:r>
        <w:tab/>
      </w:r>
      <w:r w:rsidR="007D111C" w:rsidRPr="00E927B5">
        <w:t>B</w:t>
      </w:r>
      <w:r w:rsidR="00D831E6" w:rsidRPr="00E927B5">
        <w:t xml:space="preserve">elgium noted that </w:t>
      </w:r>
      <w:r w:rsidR="00124A75" w:rsidRPr="00E927B5">
        <w:t>showing both positive and negative effects of scenarios on the y axis</w:t>
      </w:r>
      <w:r w:rsidR="008C1066">
        <w:t xml:space="preserve"> of the cost benefit diagram </w:t>
      </w:r>
      <w:r w:rsidR="00D831E6" w:rsidRPr="00E927B5">
        <w:t>could be confusing f</w:t>
      </w:r>
      <w:r w:rsidR="007D111C" w:rsidRPr="00E927B5">
        <w:t xml:space="preserve">or </w:t>
      </w:r>
      <w:r w:rsidR="00607447" w:rsidRPr="00E927B5">
        <w:t xml:space="preserve">some readers </w:t>
      </w:r>
      <w:r w:rsidR="00124A75" w:rsidRPr="00E927B5">
        <w:t>and wondered whether this could be present</w:t>
      </w:r>
      <w:r w:rsidR="00665D20" w:rsidRPr="00E927B5">
        <w:t>ed</w:t>
      </w:r>
      <w:r w:rsidR="00124A75" w:rsidRPr="00E927B5">
        <w:t xml:space="preserve"> in a different way.</w:t>
      </w:r>
      <w:r>
        <w:t xml:space="preserve"> </w:t>
      </w:r>
      <w:r w:rsidR="00033BF8" w:rsidRPr="00E927B5">
        <w:t xml:space="preserve">Belgium </w:t>
      </w:r>
      <w:r>
        <w:t xml:space="preserve">agreed with the Secretariat </w:t>
      </w:r>
      <w:r w:rsidR="00033BF8" w:rsidRPr="00E927B5">
        <w:t xml:space="preserve">that </w:t>
      </w:r>
      <w:r w:rsidR="008C1066">
        <w:t xml:space="preserve">the report </w:t>
      </w:r>
      <w:r w:rsidR="00033BF8" w:rsidRPr="00E927B5">
        <w:t>needed to explain</w:t>
      </w:r>
      <w:r w:rsidR="00E43AE8" w:rsidRPr="00E927B5">
        <w:t xml:space="preserve"> the figures </w:t>
      </w:r>
      <w:r w:rsidR="000B4139">
        <w:t>as</w:t>
      </w:r>
      <w:r w:rsidR="00E43AE8" w:rsidRPr="00E927B5">
        <w:t xml:space="preserve"> </w:t>
      </w:r>
      <w:r w:rsidR="00033BF8" w:rsidRPr="00E927B5">
        <w:t xml:space="preserve">they were </w:t>
      </w:r>
      <w:r w:rsidR="00E43AE8" w:rsidRPr="00E927B5">
        <w:t xml:space="preserve">based on a </w:t>
      </w:r>
      <w:r>
        <w:t xml:space="preserve">strategic </w:t>
      </w:r>
      <w:r w:rsidR="00E43AE8" w:rsidRPr="00E927B5">
        <w:t>model</w:t>
      </w:r>
      <w:r w:rsidR="008C1066">
        <w:t xml:space="preserve"> and </w:t>
      </w:r>
      <w:r w:rsidR="000B4139">
        <w:t xml:space="preserve">the </w:t>
      </w:r>
      <w:r>
        <w:t>results could be different for an individual spill.</w:t>
      </w:r>
    </w:p>
    <w:p w14:paraId="750077B5" w14:textId="77777777" w:rsidR="00DA2D18" w:rsidRPr="000B4139" w:rsidRDefault="00DA2D18" w:rsidP="006D3269">
      <w:pPr>
        <w:keepNext/>
        <w:spacing w:before="120" w:line="280" w:lineRule="atLeast"/>
        <w:rPr>
          <w:b/>
        </w:rPr>
      </w:pPr>
      <w:r w:rsidRPr="000B4139">
        <w:rPr>
          <w:b/>
        </w:rPr>
        <w:t>Sub-region 2</w:t>
      </w:r>
      <w:r w:rsidR="00916CBC" w:rsidRPr="000B4139">
        <w:rPr>
          <w:b/>
        </w:rPr>
        <w:t>: UK and Norway</w:t>
      </w:r>
    </w:p>
    <w:p w14:paraId="2DFD3EB6" w14:textId="01F6B871" w:rsidR="00DA2D18" w:rsidRDefault="00E376F0" w:rsidP="00EF57D5">
      <w:pPr>
        <w:spacing w:before="120" w:line="280" w:lineRule="atLeast"/>
        <w:jc w:val="both"/>
      </w:pPr>
      <w:r>
        <w:t>4.5</w:t>
      </w:r>
      <w:r>
        <w:tab/>
      </w:r>
      <w:r w:rsidR="00DA2D18" w:rsidRPr="00E927B5">
        <w:t>E</w:t>
      </w:r>
      <w:r w:rsidR="00F14516" w:rsidRPr="00E927B5">
        <w:t>-</w:t>
      </w:r>
      <w:r w:rsidR="00DA2D18" w:rsidRPr="00E927B5">
        <w:t>navigation</w:t>
      </w:r>
      <w:r w:rsidR="00CB1D8F" w:rsidRPr="00E927B5">
        <w:t xml:space="preserve">, VTS, </w:t>
      </w:r>
      <w:r w:rsidR="00DA2D18" w:rsidRPr="00E927B5">
        <w:t xml:space="preserve">TSS and </w:t>
      </w:r>
      <w:r w:rsidR="009A2E77">
        <w:t xml:space="preserve">50% more response capacity </w:t>
      </w:r>
      <w:r w:rsidR="006E57E3" w:rsidRPr="00E927B5">
        <w:t>we</w:t>
      </w:r>
      <w:r w:rsidR="00CB1D8F" w:rsidRPr="00E927B5">
        <w:t xml:space="preserve">re all </w:t>
      </w:r>
      <w:r w:rsidR="00DA2D18" w:rsidRPr="00E927B5">
        <w:t>very effective.</w:t>
      </w:r>
      <w:r>
        <w:t xml:space="preserve"> </w:t>
      </w:r>
      <w:r w:rsidR="00CB1D8F" w:rsidRPr="00E927B5">
        <w:t xml:space="preserve">The </w:t>
      </w:r>
      <w:r w:rsidR="00DA2D18" w:rsidRPr="00E927B5">
        <w:t xml:space="preserve">50% more </w:t>
      </w:r>
      <w:r w:rsidR="00CB1D8F" w:rsidRPr="00E927B5">
        <w:t xml:space="preserve">response capacity </w:t>
      </w:r>
      <w:r w:rsidR="006E57E3" w:rsidRPr="00E927B5">
        <w:t>wa</w:t>
      </w:r>
      <w:r w:rsidR="00835912">
        <w:t xml:space="preserve">s very costly due to the fact that Norway already had a significant response capability with many vessels meaning that it would not be cost effective to increase it. The highest ranked scenarios </w:t>
      </w:r>
      <w:r w:rsidR="009A2E77">
        <w:t xml:space="preserve">in terms of cost-efficiency </w:t>
      </w:r>
      <w:r w:rsidR="00835912">
        <w:t xml:space="preserve">for reduction of </w:t>
      </w:r>
      <w:r w:rsidR="009A2E77">
        <w:t xml:space="preserve">socio-economic and </w:t>
      </w:r>
      <w:r w:rsidR="00835912">
        <w:t>environmental damage</w:t>
      </w:r>
      <w:r w:rsidR="006E57E3" w:rsidRPr="00E927B5">
        <w:t xml:space="preserve"> </w:t>
      </w:r>
      <w:r w:rsidR="00553A43">
        <w:t xml:space="preserve">were </w:t>
      </w:r>
      <w:r w:rsidR="00835912">
        <w:t>VTS, AIS</w:t>
      </w:r>
      <w:r w:rsidR="00553A43">
        <w:t xml:space="preserve"> and</w:t>
      </w:r>
      <w:r w:rsidR="00835912">
        <w:t xml:space="preserve"> E</w:t>
      </w:r>
      <w:r w:rsidR="00AD0C98" w:rsidRPr="00E927B5">
        <w:t>-</w:t>
      </w:r>
      <w:r w:rsidR="00835912">
        <w:lastRenderedPageBreak/>
        <w:t>N</w:t>
      </w:r>
      <w:r w:rsidR="00DA2D18" w:rsidRPr="00E927B5">
        <w:t>avigation.</w:t>
      </w:r>
      <w:r w:rsidR="00226E81" w:rsidRPr="00E927B5">
        <w:t xml:space="preserve"> N</w:t>
      </w:r>
      <w:r w:rsidR="006E57E3" w:rsidRPr="00E927B5">
        <w:t>orway</w:t>
      </w:r>
      <w:r w:rsidR="00226E81" w:rsidRPr="00E927B5">
        <w:t xml:space="preserve"> </w:t>
      </w:r>
      <w:r w:rsidR="00835912">
        <w:t xml:space="preserve">noted it </w:t>
      </w:r>
      <w:r w:rsidR="00226E81" w:rsidRPr="00E927B5">
        <w:t>already ha</w:t>
      </w:r>
      <w:r w:rsidR="006E57E3" w:rsidRPr="00E927B5">
        <w:t>d</w:t>
      </w:r>
      <w:r w:rsidR="00226E81" w:rsidRPr="00E927B5">
        <w:t xml:space="preserve"> TSS on </w:t>
      </w:r>
      <w:r w:rsidR="006E57E3" w:rsidRPr="00E927B5">
        <w:t xml:space="preserve">its </w:t>
      </w:r>
      <w:r w:rsidR="00226E81" w:rsidRPr="00E927B5">
        <w:t>coast</w:t>
      </w:r>
      <w:r w:rsidR="006E57E3" w:rsidRPr="00E927B5">
        <w:t xml:space="preserve"> and </w:t>
      </w:r>
      <w:r w:rsidR="00835912">
        <w:t xml:space="preserve">the additional benefit was from extending this </w:t>
      </w:r>
      <w:r w:rsidR="00226E81" w:rsidRPr="00E927B5">
        <w:t>in</w:t>
      </w:r>
      <w:r w:rsidR="00835912">
        <w:t xml:space="preserve"> to</w:t>
      </w:r>
      <w:r w:rsidR="00226E81" w:rsidRPr="00E927B5">
        <w:t xml:space="preserve"> the central North Sea.</w:t>
      </w:r>
    </w:p>
    <w:p w14:paraId="675B8B94" w14:textId="4E351FA2" w:rsidR="00E03001" w:rsidRDefault="00F50C7E" w:rsidP="00EF57D5">
      <w:pPr>
        <w:spacing w:before="120" w:line="280" w:lineRule="atLeast"/>
        <w:jc w:val="both"/>
      </w:pPr>
      <w:r w:rsidRPr="00F50C7E">
        <w:rPr>
          <w:noProof/>
          <w:lang w:eastAsia="en-GB"/>
        </w:rPr>
        <w:drawing>
          <wp:inline distT="0" distB="0" distL="0" distR="0" wp14:anchorId="670B7B4A" wp14:editId="466D052F">
            <wp:extent cx="6173833" cy="748863"/>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1"/>
                    <a:stretch>
                      <a:fillRect/>
                    </a:stretch>
                  </pic:blipFill>
                  <pic:spPr>
                    <a:xfrm>
                      <a:off x="0" y="0"/>
                      <a:ext cx="6173833" cy="748863"/>
                    </a:xfrm>
                    <a:prstGeom prst="rect">
                      <a:avLst/>
                    </a:prstGeom>
                  </pic:spPr>
                </pic:pic>
              </a:graphicData>
            </a:graphic>
          </wp:inline>
        </w:drawing>
      </w:r>
    </w:p>
    <w:p w14:paraId="3E06A733" w14:textId="77777777" w:rsidR="00E03001" w:rsidRPr="00E927B5" w:rsidRDefault="00E03001" w:rsidP="00EF57D5">
      <w:pPr>
        <w:spacing w:before="120" w:line="280" w:lineRule="atLeast"/>
        <w:jc w:val="both"/>
      </w:pPr>
      <w:r>
        <w:t>Figure 2: Preliminary scenario ranking for sub-region 2.</w:t>
      </w:r>
    </w:p>
    <w:p w14:paraId="204921BA" w14:textId="77777777" w:rsidR="00226E81" w:rsidRPr="000B4139" w:rsidRDefault="00916CBC" w:rsidP="006D3269">
      <w:pPr>
        <w:keepNext/>
        <w:spacing w:before="120" w:line="280" w:lineRule="atLeast"/>
        <w:rPr>
          <w:b/>
        </w:rPr>
      </w:pPr>
      <w:r w:rsidRPr="000B4139">
        <w:rPr>
          <w:b/>
        </w:rPr>
        <w:t>Sub-region 3:</w:t>
      </w:r>
      <w:r w:rsidR="00AD0C98" w:rsidRPr="000B4139">
        <w:rPr>
          <w:b/>
        </w:rPr>
        <w:t xml:space="preserve"> Denmark, Germany, Netherlands, Norway and Sweden.</w:t>
      </w:r>
    </w:p>
    <w:p w14:paraId="309F9A03" w14:textId="0BA76124" w:rsidR="00B05C9A" w:rsidRDefault="00EF57D5" w:rsidP="00E03001">
      <w:pPr>
        <w:spacing w:before="120" w:line="280" w:lineRule="atLeast"/>
        <w:jc w:val="both"/>
      </w:pPr>
      <w:r>
        <w:t>4.6</w:t>
      </w:r>
      <w:r>
        <w:tab/>
      </w:r>
      <w:r w:rsidR="006220A5">
        <w:t>In sub region 3</w:t>
      </w:r>
      <w:r w:rsidR="006220A5" w:rsidRPr="00E927B5">
        <w:t xml:space="preserve"> E</w:t>
      </w:r>
      <w:r w:rsidR="006220A5" w:rsidRPr="00E927B5">
        <w:noBreakHyphen/>
        <w:t>navigation</w:t>
      </w:r>
      <w:r w:rsidR="006220A5">
        <w:t>,</w:t>
      </w:r>
      <w:r w:rsidR="006220A5" w:rsidRPr="00E927B5">
        <w:t xml:space="preserve"> VTS and TSS</w:t>
      </w:r>
      <w:r w:rsidR="006220A5" w:rsidRPr="00BE0CB6">
        <w:t xml:space="preserve"> </w:t>
      </w:r>
      <w:r w:rsidR="006220A5" w:rsidRPr="00E927B5">
        <w:t xml:space="preserve">had a similar </w:t>
      </w:r>
      <w:r w:rsidR="006220A5">
        <w:t>effectiveness</w:t>
      </w:r>
      <w:r w:rsidR="006220A5" w:rsidRPr="00E927B5">
        <w:t>.</w:t>
      </w:r>
      <w:r w:rsidR="006220A5">
        <w:t xml:space="preserve"> </w:t>
      </w:r>
      <w:r w:rsidR="00864A07">
        <w:t>The s</w:t>
      </w:r>
      <w:r w:rsidR="00AD0C98" w:rsidRPr="00E927B5">
        <w:t>ub-region 3 c</w:t>
      </w:r>
      <w:r w:rsidR="00226E81" w:rsidRPr="00E927B5">
        <w:t>ost benefit</w:t>
      </w:r>
      <w:r w:rsidR="00AD0C98" w:rsidRPr="00E927B5">
        <w:t xml:space="preserve"> </w:t>
      </w:r>
      <w:r w:rsidR="006220A5">
        <w:t xml:space="preserve">diagram </w:t>
      </w:r>
      <w:r w:rsidR="00AD0C98" w:rsidRPr="00E927B5">
        <w:t xml:space="preserve">showed that </w:t>
      </w:r>
      <w:r w:rsidR="00226E81" w:rsidRPr="00E927B5">
        <w:t>VTS</w:t>
      </w:r>
      <w:r w:rsidR="00AD0C98" w:rsidRPr="00E927B5">
        <w:t>, TSS and AIS alarms we</w:t>
      </w:r>
      <w:r w:rsidR="00226E81" w:rsidRPr="00E927B5">
        <w:t xml:space="preserve">re very </w:t>
      </w:r>
      <w:r w:rsidR="006220A5">
        <w:t>efficient</w:t>
      </w:r>
      <w:r w:rsidR="00226E81" w:rsidRPr="00E927B5">
        <w:t xml:space="preserve">, </w:t>
      </w:r>
      <w:r w:rsidR="009005C4" w:rsidRPr="00E927B5">
        <w:t xml:space="preserve">while the </w:t>
      </w:r>
      <w:r w:rsidR="00226E81" w:rsidRPr="00E927B5">
        <w:t xml:space="preserve">scenarios </w:t>
      </w:r>
      <w:r w:rsidR="00E03001">
        <w:t xml:space="preserve">on </w:t>
      </w:r>
      <w:r w:rsidR="00226E81" w:rsidRPr="00E927B5">
        <w:t xml:space="preserve">dispersants </w:t>
      </w:r>
      <w:r>
        <w:t xml:space="preserve">only </w:t>
      </w:r>
      <w:r w:rsidR="00226E81" w:rsidRPr="00E927B5">
        <w:t xml:space="preserve">and </w:t>
      </w:r>
      <w:r w:rsidR="00916CBC">
        <w:t xml:space="preserve">increased night </w:t>
      </w:r>
      <w:r w:rsidR="00A610DA">
        <w:t>vision</w:t>
      </w:r>
      <w:r w:rsidR="00226E81" w:rsidRPr="00E927B5">
        <w:t xml:space="preserve"> </w:t>
      </w:r>
      <w:r w:rsidR="00916CBC">
        <w:t xml:space="preserve">capacity </w:t>
      </w:r>
      <w:r w:rsidR="009005C4" w:rsidRPr="00E927B5">
        <w:t xml:space="preserve">were less </w:t>
      </w:r>
      <w:r w:rsidR="006220A5">
        <w:t>efficient</w:t>
      </w:r>
      <w:r w:rsidR="00226E81" w:rsidRPr="00E927B5">
        <w:t>.</w:t>
      </w:r>
      <w:r w:rsidR="000B4139">
        <w:t xml:space="preserve"> E</w:t>
      </w:r>
      <w:r w:rsidR="000B4139">
        <w:noBreakHyphen/>
      </w:r>
      <w:r w:rsidR="00864A07">
        <w:t xml:space="preserve">navigation was </w:t>
      </w:r>
      <w:r>
        <w:t xml:space="preserve">still </w:t>
      </w:r>
      <w:r w:rsidR="006220A5">
        <w:t>efficient</w:t>
      </w:r>
      <w:r>
        <w:t xml:space="preserve"> but proportionally less so when compared to the TSS and VTS scenarios for region 3</w:t>
      </w:r>
      <w:r w:rsidR="00864A07">
        <w:t>.</w:t>
      </w:r>
      <w:r w:rsidR="00E03001">
        <w:t xml:space="preserve"> </w:t>
      </w:r>
      <w:r w:rsidR="00A610DA">
        <w:t>In the s</w:t>
      </w:r>
      <w:r w:rsidR="002F5248" w:rsidRPr="00E927B5">
        <w:t>ub-region 3 s</w:t>
      </w:r>
      <w:r w:rsidR="00A610DA">
        <w:t>cenario ranking</w:t>
      </w:r>
      <w:r w:rsidR="00455B6F">
        <w:t xml:space="preserve"> AIS alarms ca</w:t>
      </w:r>
      <w:r w:rsidR="00B05C9A" w:rsidRPr="00E927B5">
        <w:t>me out high</w:t>
      </w:r>
      <w:r w:rsidR="00455B6F">
        <w:t xml:space="preserve"> because </w:t>
      </w:r>
      <w:r w:rsidR="00E03001">
        <w:t>although they were not the most effective they were relatively cheap to implement</w:t>
      </w:r>
      <w:r w:rsidR="002F5248" w:rsidRPr="00E927B5">
        <w:t>.</w:t>
      </w:r>
    </w:p>
    <w:p w14:paraId="75E43CD4" w14:textId="77381B2E" w:rsidR="00E03001" w:rsidRPr="00E927B5" w:rsidRDefault="00E03001" w:rsidP="00E03001">
      <w:pPr>
        <w:spacing w:before="120" w:line="280" w:lineRule="atLeast"/>
        <w:jc w:val="both"/>
      </w:pPr>
      <w:r w:rsidRPr="00E03001">
        <w:rPr>
          <w:noProof/>
          <w:lang w:eastAsia="en-GB"/>
        </w:rPr>
        <w:drawing>
          <wp:inline distT="0" distB="0" distL="0" distR="0" wp14:anchorId="751ED92F" wp14:editId="3B7EC7C7">
            <wp:extent cx="6213331" cy="753654"/>
            <wp:effectExtent l="0" t="0" r="0" b="889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2"/>
                    <a:stretch>
                      <a:fillRect/>
                    </a:stretch>
                  </pic:blipFill>
                  <pic:spPr>
                    <a:xfrm>
                      <a:off x="0" y="0"/>
                      <a:ext cx="6213331" cy="753654"/>
                    </a:xfrm>
                    <a:prstGeom prst="rect">
                      <a:avLst/>
                    </a:prstGeom>
                  </pic:spPr>
                </pic:pic>
              </a:graphicData>
            </a:graphic>
          </wp:inline>
        </w:drawing>
      </w:r>
      <w:r>
        <w:t>Figure 3: Preli</w:t>
      </w:r>
      <w:r w:rsidR="00553A43">
        <w:t>minary scenario ranking for Sub-</w:t>
      </w:r>
      <w:r>
        <w:t>Region 3</w:t>
      </w:r>
      <w:r w:rsidR="006220A5">
        <w:t xml:space="preserve"> – cost efficiency</w:t>
      </w:r>
      <w:r>
        <w:t>.</w:t>
      </w:r>
    </w:p>
    <w:p w14:paraId="4FFE85C1" w14:textId="77777777" w:rsidR="0066469D" w:rsidRPr="00455B6F" w:rsidRDefault="00B05C9A" w:rsidP="006D3269">
      <w:pPr>
        <w:keepNext/>
        <w:spacing w:before="120" w:line="280" w:lineRule="atLeast"/>
        <w:rPr>
          <w:b/>
        </w:rPr>
      </w:pPr>
      <w:r w:rsidRPr="00455B6F">
        <w:rPr>
          <w:b/>
        </w:rPr>
        <w:t xml:space="preserve">Sub-region </w:t>
      </w:r>
      <w:r w:rsidR="00C244E3" w:rsidRPr="00455B6F">
        <w:rPr>
          <w:b/>
        </w:rPr>
        <w:t>4</w:t>
      </w:r>
      <w:r w:rsidRPr="00455B6F">
        <w:rPr>
          <w:b/>
        </w:rPr>
        <w:t xml:space="preserve">: </w:t>
      </w:r>
      <w:r w:rsidR="0066469D" w:rsidRPr="00455B6F">
        <w:rPr>
          <w:b/>
        </w:rPr>
        <w:t>Germany, the Netherlands, Belgium, France, UK.</w:t>
      </w:r>
    </w:p>
    <w:p w14:paraId="725E16F3" w14:textId="3E77A095" w:rsidR="00B05C9A" w:rsidRDefault="00A22D0C" w:rsidP="006D3269">
      <w:pPr>
        <w:spacing w:before="120" w:line="280" w:lineRule="atLeast"/>
        <w:jc w:val="both"/>
      </w:pPr>
      <w:r>
        <w:t>4.7</w:t>
      </w:r>
      <w:r>
        <w:tab/>
      </w:r>
      <w:r w:rsidR="0088214A">
        <w:t>COWI highlighted that t</w:t>
      </w:r>
      <w:r w:rsidR="00455B6F">
        <w:t>his wa</w:t>
      </w:r>
      <w:r w:rsidR="0066469D" w:rsidRPr="00E927B5">
        <w:t xml:space="preserve">s a </w:t>
      </w:r>
      <w:r w:rsidR="00B05C9A" w:rsidRPr="00E927B5">
        <w:t>very high traffic area</w:t>
      </w:r>
      <w:r w:rsidR="0088214A">
        <w:t xml:space="preserve"> which already had a high implementation of risk reducing </w:t>
      </w:r>
      <w:r w:rsidR="00CD3273">
        <w:t xml:space="preserve">and response </w:t>
      </w:r>
      <w:r w:rsidR="0088214A">
        <w:t>measures</w:t>
      </w:r>
      <w:r w:rsidR="0066469D" w:rsidRPr="00E927B5">
        <w:t xml:space="preserve">. E-navigation </w:t>
      </w:r>
      <w:r w:rsidR="00CD3273">
        <w:t>and increase</w:t>
      </w:r>
      <w:r w:rsidR="005677B0">
        <w:t>d</w:t>
      </w:r>
      <w:r w:rsidR="00CD3273">
        <w:t xml:space="preserve"> VTS were</w:t>
      </w:r>
      <w:r w:rsidR="0066469D" w:rsidRPr="00E927B5">
        <w:t xml:space="preserve"> the most effective </w:t>
      </w:r>
      <w:r w:rsidR="00CD3273">
        <w:t xml:space="preserve">scenarios </w:t>
      </w:r>
      <w:r w:rsidR="0066469D" w:rsidRPr="00E927B5">
        <w:t xml:space="preserve">and dispersants </w:t>
      </w:r>
      <w:r w:rsidR="00864A07">
        <w:t>we</w:t>
      </w:r>
      <w:r w:rsidR="0066469D" w:rsidRPr="00E927B5">
        <w:t xml:space="preserve">re the </w:t>
      </w:r>
      <w:r w:rsidR="00864A07">
        <w:t xml:space="preserve">least effective. </w:t>
      </w:r>
      <w:r w:rsidR="00B05C9A" w:rsidRPr="00E927B5">
        <w:t xml:space="preserve">50% extra </w:t>
      </w:r>
      <w:r w:rsidR="0066469D" w:rsidRPr="00E927B5">
        <w:t xml:space="preserve">response equipment </w:t>
      </w:r>
      <w:r w:rsidR="00455B6F">
        <w:t>wa</w:t>
      </w:r>
      <w:r w:rsidR="00B05C9A" w:rsidRPr="00E927B5">
        <w:t>s not viable</w:t>
      </w:r>
      <w:r w:rsidR="00864A07">
        <w:t xml:space="preserve"> in this region</w:t>
      </w:r>
      <w:r w:rsidR="00CE520C">
        <w:t xml:space="preserve"> d</w:t>
      </w:r>
      <w:r w:rsidR="00CD3273">
        <w:t xml:space="preserve">ue to the </w:t>
      </w:r>
      <w:r w:rsidR="00CE520C">
        <w:t xml:space="preserve">existing </w:t>
      </w:r>
      <w:r w:rsidR="005677B0">
        <w:t xml:space="preserve">high </w:t>
      </w:r>
      <w:r w:rsidR="00CE520C">
        <w:t xml:space="preserve">level response infrastructure. The highest ranked scenarios </w:t>
      </w:r>
      <w:r w:rsidR="006220A5">
        <w:t xml:space="preserve">in cost benefit terms </w:t>
      </w:r>
      <w:r w:rsidR="00CE520C">
        <w:t xml:space="preserve">were </w:t>
      </w:r>
      <w:r w:rsidR="00CE520C" w:rsidRPr="00E927B5">
        <w:t>AIS alarms</w:t>
      </w:r>
      <w:r w:rsidR="00CE520C">
        <w:t>, due to the large number of wind farms,</w:t>
      </w:r>
      <w:r w:rsidR="00CE520C" w:rsidRPr="00E927B5">
        <w:t xml:space="preserve"> </w:t>
      </w:r>
      <w:r w:rsidR="00A610DA">
        <w:t>e</w:t>
      </w:r>
      <w:r w:rsidR="00B05C9A" w:rsidRPr="00E927B5">
        <w:t xml:space="preserve">xtended </w:t>
      </w:r>
      <w:r w:rsidR="00864A07">
        <w:t xml:space="preserve">night </w:t>
      </w:r>
      <w:r w:rsidR="00A610DA">
        <w:t>vision capability</w:t>
      </w:r>
      <w:r w:rsidR="0066469D" w:rsidRPr="00E927B5">
        <w:t>,</w:t>
      </w:r>
      <w:r w:rsidR="00B05C9A" w:rsidRPr="00E927B5">
        <w:t xml:space="preserve"> </w:t>
      </w:r>
      <w:r w:rsidR="0066469D" w:rsidRPr="00E927B5">
        <w:t>and</w:t>
      </w:r>
      <w:r w:rsidR="00B05C9A" w:rsidRPr="00E927B5">
        <w:t xml:space="preserve"> added TSS. </w:t>
      </w:r>
      <w:r w:rsidR="0066469D" w:rsidRPr="00E927B5">
        <w:t xml:space="preserve">They </w:t>
      </w:r>
      <w:r w:rsidR="00455B6F">
        <w:t>we</w:t>
      </w:r>
      <w:r w:rsidR="0066469D" w:rsidRPr="00E927B5">
        <w:t xml:space="preserve">re all </w:t>
      </w:r>
      <w:r w:rsidR="008150DE" w:rsidRPr="00E927B5">
        <w:t>on the same cost efficiency line</w:t>
      </w:r>
      <w:r w:rsidR="00A610DA">
        <w:t xml:space="preserve"> </w:t>
      </w:r>
      <w:r w:rsidR="00CE520C">
        <w:t>therefore there was no scenario which was particularly significant for this region</w:t>
      </w:r>
      <w:r w:rsidR="00864A07">
        <w:t>.</w:t>
      </w:r>
    </w:p>
    <w:p w14:paraId="1EA36051" w14:textId="77777777" w:rsidR="00CD3273" w:rsidRDefault="00CD3273" w:rsidP="006D3269">
      <w:pPr>
        <w:spacing w:before="120" w:line="280" w:lineRule="atLeast"/>
        <w:jc w:val="both"/>
      </w:pPr>
      <w:r w:rsidRPr="00CD3273">
        <w:rPr>
          <w:noProof/>
          <w:lang w:eastAsia="en-GB"/>
        </w:rPr>
        <w:drawing>
          <wp:inline distT="0" distB="0" distL="0" distR="0" wp14:anchorId="09C2DFC2" wp14:editId="140ECD60">
            <wp:extent cx="6173833" cy="748863"/>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3"/>
                    <a:stretch>
                      <a:fillRect/>
                    </a:stretch>
                  </pic:blipFill>
                  <pic:spPr>
                    <a:xfrm>
                      <a:off x="0" y="0"/>
                      <a:ext cx="6173833" cy="748863"/>
                    </a:xfrm>
                    <a:prstGeom prst="rect">
                      <a:avLst/>
                    </a:prstGeom>
                  </pic:spPr>
                </pic:pic>
              </a:graphicData>
            </a:graphic>
          </wp:inline>
        </w:drawing>
      </w:r>
    </w:p>
    <w:p w14:paraId="7CB2B699" w14:textId="00E499D1" w:rsidR="00CE520C" w:rsidRPr="00E927B5" w:rsidRDefault="00CE520C" w:rsidP="006D3269">
      <w:pPr>
        <w:spacing w:before="120" w:line="280" w:lineRule="atLeast"/>
        <w:jc w:val="both"/>
      </w:pPr>
      <w:r>
        <w:t>Figure 4: Preliminary scenario ranking for sub-region 4</w:t>
      </w:r>
      <w:r w:rsidR="006220A5">
        <w:t xml:space="preserve"> – cost efficiency</w:t>
      </w:r>
      <w:r>
        <w:t>.</w:t>
      </w:r>
    </w:p>
    <w:p w14:paraId="6F140E1B" w14:textId="77777777" w:rsidR="000103C4" w:rsidRPr="00455B6F" w:rsidRDefault="000103C4" w:rsidP="006D3269">
      <w:pPr>
        <w:keepNext/>
        <w:spacing w:before="120" w:line="280" w:lineRule="atLeast"/>
        <w:rPr>
          <w:b/>
        </w:rPr>
      </w:pPr>
      <w:r w:rsidRPr="00455B6F">
        <w:rPr>
          <w:b/>
        </w:rPr>
        <w:t>S</w:t>
      </w:r>
      <w:r w:rsidR="004F557C" w:rsidRPr="00455B6F">
        <w:rPr>
          <w:b/>
        </w:rPr>
        <w:t xml:space="preserve">ub-region </w:t>
      </w:r>
      <w:r w:rsidRPr="00455B6F">
        <w:rPr>
          <w:b/>
        </w:rPr>
        <w:t>5</w:t>
      </w:r>
      <w:r w:rsidR="00864A07" w:rsidRPr="00455B6F">
        <w:rPr>
          <w:b/>
        </w:rPr>
        <w:t>:</w:t>
      </w:r>
      <w:r w:rsidR="004F557C" w:rsidRPr="00455B6F">
        <w:rPr>
          <w:b/>
        </w:rPr>
        <w:t xml:space="preserve"> France and </w:t>
      </w:r>
      <w:r w:rsidRPr="00455B6F">
        <w:rPr>
          <w:b/>
        </w:rPr>
        <w:t>UK</w:t>
      </w:r>
      <w:r w:rsidR="004F557C" w:rsidRPr="00455B6F">
        <w:rPr>
          <w:b/>
        </w:rPr>
        <w:t xml:space="preserve">. </w:t>
      </w:r>
    </w:p>
    <w:p w14:paraId="6F6E0BD4" w14:textId="3278198E" w:rsidR="00A22D0C" w:rsidRDefault="00A22D0C" w:rsidP="00A22D0C">
      <w:pPr>
        <w:spacing w:before="120" w:line="280" w:lineRule="atLeast"/>
        <w:jc w:val="both"/>
      </w:pPr>
      <w:r>
        <w:t>4.8</w:t>
      </w:r>
      <w:r>
        <w:tab/>
      </w:r>
      <w:r w:rsidR="00CE520C">
        <w:t xml:space="preserve">COWI highlighted that the most effective scenarios were </w:t>
      </w:r>
      <w:r w:rsidR="00D97D8D" w:rsidRPr="00E927B5">
        <w:t>E-</w:t>
      </w:r>
      <w:r w:rsidR="000F387F">
        <w:t>navigation</w:t>
      </w:r>
      <w:r>
        <w:t xml:space="preserve"> and </w:t>
      </w:r>
      <w:r w:rsidR="000103C4" w:rsidRPr="00E927B5">
        <w:t>VTS</w:t>
      </w:r>
      <w:r>
        <w:t xml:space="preserve"> to a lesser extent</w:t>
      </w:r>
      <w:r w:rsidR="000103C4" w:rsidRPr="00E927B5">
        <w:t xml:space="preserve">. </w:t>
      </w:r>
      <w:r>
        <w:t>In terms of cost benefit only</w:t>
      </w:r>
      <w:r w:rsidR="000103C4" w:rsidRPr="00E927B5">
        <w:t xml:space="preserve"> 4 scenarios </w:t>
      </w:r>
      <w:r w:rsidR="00D97D8D" w:rsidRPr="00E927B5">
        <w:t xml:space="preserve">were </w:t>
      </w:r>
      <w:r w:rsidRPr="00E927B5">
        <w:t>investigated</w:t>
      </w:r>
      <w:r w:rsidR="005677B0">
        <w:t>,</w:t>
      </w:r>
      <w:r>
        <w:t xml:space="preserve"> as the costs for VTS and night vision capability were still required</w:t>
      </w:r>
      <w:r w:rsidR="00D97D8D" w:rsidRPr="00E927B5">
        <w:t xml:space="preserve">. </w:t>
      </w:r>
      <w:r>
        <w:t>France agreed to send these cost to COWI as soon as possible</w:t>
      </w:r>
      <w:r w:rsidR="00220419">
        <w:t xml:space="preserve"> who would then update the ranking</w:t>
      </w:r>
      <w:r>
        <w:t>.</w:t>
      </w:r>
    </w:p>
    <w:p w14:paraId="6BC8C51D" w14:textId="77777777" w:rsidR="000103C4" w:rsidRDefault="00A22D0C" w:rsidP="00A22D0C">
      <w:pPr>
        <w:spacing w:before="120" w:line="280" w:lineRule="atLeast"/>
        <w:jc w:val="both"/>
      </w:pPr>
      <w:r>
        <w:t>4.9</w:t>
      </w:r>
      <w:r>
        <w:tab/>
      </w:r>
      <w:r w:rsidR="00220419">
        <w:t>The three top ranked scenarios were AIS alarms, 50% more equipment and E-navigation</w:t>
      </w:r>
      <w:r w:rsidR="00D97D8D" w:rsidRPr="00E927B5">
        <w:t xml:space="preserve">. The </w:t>
      </w:r>
      <w:r w:rsidR="00220419">
        <w:t xml:space="preserve">scenarios </w:t>
      </w:r>
      <w:r w:rsidR="00584F9C">
        <w:t>we</w:t>
      </w:r>
      <w:r w:rsidR="00220419">
        <w:t>re i</w:t>
      </w:r>
      <w:r w:rsidR="00D97D8D" w:rsidRPr="00E927B5">
        <w:t xml:space="preserve">n one </w:t>
      </w:r>
      <w:r w:rsidR="000103C4" w:rsidRPr="00E927B5">
        <w:t xml:space="preserve">line indicating </w:t>
      </w:r>
      <w:r w:rsidR="00D97D8D" w:rsidRPr="00E927B5">
        <w:t xml:space="preserve">the </w:t>
      </w:r>
      <w:r w:rsidR="000103C4" w:rsidRPr="00E927B5">
        <w:t xml:space="preserve">same order of efficiency. </w:t>
      </w:r>
    </w:p>
    <w:p w14:paraId="103EE88B" w14:textId="77777777" w:rsidR="00CE520C" w:rsidRPr="00E927B5" w:rsidRDefault="00CE520C" w:rsidP="006D3269">
      <w:pPr>
        <w:spacing w:before="120" w:line="280" w:lineRule="atLeast"/>
      </w:pPr>
      <w:r w:rsidRPr="00CE520C">
        <w:rPr>
          <w:noProof/>
          <w:lang w:eastAsia="en-GB"/>
        </w:rPr>
        <w:lastRenderedPageBreak/>
        <w:drawing>
          <wp:inline distT="0" distB="0" distL="0" distR="0" wp14:anchorId="16E9A2AF" wp14:editId="1C12E001">
            <wp:extent cx="6173833" cy="748863"/>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4"/>
                    <a:stretch>
                      <a:fillRect/>
                    </a:stretch>
                  </pic:blipFill>
                  <pic:spPr>
                    <a:xfrm>
                      <a:off x="0" y="0"/>
                      <a:ext cx="6173833" cy="748863"/>
                    </a:xfrm>
                    <a:prstGeom prst="rect">
                      <a:avLst/>
                    </a:prstGeom>
                  </pic:spPr>
                </pic:pic>
              </a:graphicData>
            </a:graphic>
          </wp:inline>
        </w:drawing>
      </w:r>
    </w:p>
    <w:p w14:paraId="586BCB7A" w14:textId="36CBD45F" w:rsidR="00220419" w:rsidRPr="00220419" w:rsidRDefault="00220419" w:rsidP="006D3269">
      <w:pPr>
        <w:keepNext/>
        <w:spacing w:before="120" w:line="280" w:lineRule="atLeast"/>
      </w:pPr>
      <w:r w:rsidRPr="00220419">
        <w:t>Figure 5:</w:t>
      </w:r>
      <w:r>
        <w:t xml:space="preserve"> Preli</w:t>
      </w:r>
      <w:r w:rsidR="00553A43">
        <w:t>minary scenario ranking for sub-</w:t>
      </w:r>
      <w:r>
        <w:t xml:space="preserve">region 5 </w:t>
      </w:r>
      <w:r w:rsidR="0022628E">
        <w:t xml:space="preserve">– cost efficiency. </w:t>
      </w:r>
    </w:p>
    <w:p w14:paraId="3A69DCE4" w14:textId="77777777" w:rsidR="000F387F" w:rsidRPr="000F387F" w:rsidRDefault="000F387F" w:rsidP="006D3269">
      <w:pPr>
        <w:keepNext/>
        <w:spacing w:before="120" w:line="280" w:lineRule="atLeast"/>
        <w:rPr>
          <w:b/>
        </w:rPr>
      </w:pPr>
      <w:r w:rsidRPr="000F387F">
        <w:rPr>
          <w:b/>
        </w:rPr>
        <w:t>Discussion</w:t>
      </w:r>
    </w:p>
    <w:p w14:paraId="0A4BDAF1" w14:textId="1AE5D8EE" w:rsidR="00220419" w:rsidRDefault="00220419" w:rsidP="006D3269">
      <w:pPr>
        <w:spacing w:before="120" w:line="280" w:lineRule="atLeast"/>
        <w:jc w:val="both"/>
      </w:pPr>
      <w:r>
        <w:t>4.10</w:t>
      </w:r>
      <w:r>
        <w:tab/>
        <w:t>The Netherlands highlighted that</w:t>
      </w:r>
      <w:r w:rsidR="00BF6434">
        <w:t xml:space="preserve"> </w:t>
      </w:r>
      <w:r>
        <w:t>t</w:t>
      </w:r>
      <w:r w:rsidRPr="00E927B5">
        <w:t xml:space="preserve">he IMO </w:t>
      </w:r>
      <w:r>
        <w:t xml:space="preserve">only permitted </w:t>
      </w:r>
      <w:r w:rsidRPr="00E927B5">
        <w:t xml:space="preserve">VTS inside the 12 </w:t>
      </w:r>
      <w:r w:rsidR="000B3B42">
        <w:t xml:space="preserve">nm </w:t>
      </w:r>
      <w:r w:rsidRPr="00E927B5">
        <w:t xml:space="preserve">mile </w:t>
      </w:r>
      <w:r>
        <w:t xml:space="preserve">and whilst the Netherlands were considering increasing existing VTS and TSS this was something that needed to be considered. Norway highlighted that they used AIS to monitor and advise vessels outside the 12 nm limit and although they were not legally obliged to respond almost all vessels did. </w:t>
      </w:r>
      <w:r w:rsidR="00762960">
        <w:t>The Secretariat highlighted that whilst legally VTS was restricted to 12 nm if the advisory service outside had the same risk reducing effect that was the most important aspect for the project.</w:t>
      </w:r>
    </w:p>
    <w:p w14:paraId="1B1B074D" w14:textId="77777777" w:rsidR="00C54ACF" w:rsidRPr="00762960" w:rsidRDefault="00762960" w:rsidP="006D3269">
      <w:pPr>
        <w:keepNext/>
        <w:spacing w:before="120" w:line="280" w:lineRule="atLeast"/>
        <w:rPr>
          <w:b/>
          <w:sz w:val="26"/>
          <w:szCs w:val="26"/>
        </w:rPr>
      </w:pPr>
      <w:r>
        <w:rPr>
          <w:b/>
          <w:sz w:val="26"/>
          <w:szCs w:val="26"/>
        </w:rPr>
        <w:t>5.</w:t>
      </w:r>
      <w:r>
        <w:rPr>
          <w:b/>
          <w:sz w:val="26"/>
          <w:szCs w:val="26"/>
        </w:rPr>
        <w:tab/>
        <w:t>Development of Risk M</w:t>
      </w:r>
      <w:r w:rsidRPr="00762960">
        <w:rPr>
          <w:b/>
          <w:sz w:val="26"/>
          <w:szCs w:val="26"/>
        </w:rPr>
        <w:t>anagement Conclusions</w:t>
      </w:r>
    </w:p>
    <w:p w14:paraId="76F3CDD7" w14:textId="716DE384" w:rsidR="00BF1851" w:rsidRPr="00E927B5" w:rsidRDefault="00762960" w:rsidP="006D3269">
      <w:pPr>
        <w:spacing w:before="120" w:line="280" w:lineRule="atLeast"/>
        <w:jc w:val="both"/>
      </w:pPr>
      <w:r>
        <w:t>5.1</w:t>
      </w:r>
      <w:r>
        <w:tab/>
        <w:t xml:space="preserve">The workshop spilt into </w:t>
      </w:r>
      <w:r w:rsidR="006F7EC1" w:rsidRPr="00E927B5">
        <w:t xml:space="preserve">three groups to discuss the </w:t>
      </w:r>
      <w:r>
        <w:t>preliminary scenario ra</w:t>
      </w:r>
      <w:r w:rsidR="00553A43">
        <w:t>nkings and start developing sub-</w:t>
      </w:r>
      <w:r>
        <w:t>regional risk management conclusions. The Secretariat explained that each sub</w:t>
      </w:r>
      <w:r w:rsidR="00553A43">
        <w:t>-</w:t>
      </w:r>
      <w:r>
        <w:t xml:space="preserve">region </w:t>
      </w:r>
      <w:r w:rsidR="00AC4B6C">
        <w:t xml:space="preserve">needed </w:t>
      </w:r>
      <w:r w:rsidR="005341E3" w:rsidRPr="00E927B5">
        <w:t xml:space="preserve">to </w:t>
      </w:r>
      <w:r w:rsidR="006F7EC1" w:rsidRPr="00E927B5">
        <w:t xml:space="preserve">identify </w:t>
      </w:r>
      <w:r w:rsidR="00BF1851" w:rsidRPr="00E927B5">
        <w:t xml:space="preserve">a lead country to take the process </w:t>
      </w:r>
      <w:r w:rsidR="006F7EC1" w:rsidRPr="00E927B5">
        <w:t xml:space="preserve">forward </w:t>
      </w:r>
      <w:r w:rsidR="00BF1851" w:rsidRPr="00E927B5">
        <w:t xml:space="preserve">over the </w:t>
      </w:r>
      <w:r w:rsidR="006F7EC1" w:rsidRPr="00E927B5">
        <w:t xml:space="preserve">coming </w:t>
      </w:r>
      <w:r w:rsidR="00BF1851" w:rsidRPr="00E927B5">
        <w:t xml:space="preserve">weeks </w:t>
      </w:r>
      <w:r w:rsidR="006F7EC1" w:rsidRPr="00E927B5">
        <w:t xml:space="preserve">and </w:t>
      </w:r>
      <w:r w:rsidR="005341E3" w:rsidRPr="00E927B5">
        <w:t>to d</w:t>
      </w:r>
      <w:r w:rsidR="00AC4B6C">
        <w:t>raft</w:t>
      </w:r>
      <w:r w:rsidR="005341E3" w:rsidRPr="00E927B5">
        <w:t xml:space="preserve"> </w:t>
      </w:r>
      <w:r w:rsidR="00AC4B6C">
        <w:t>risk management conclusions</w:t>
      </w:r>
      <w:r w:rsidR="004C4095">
        <w:t xml:space="preserve"> for the final report.</w:t>
      </w:r>
      <w:r w:rsidR="00AC4B6C">
        <w:t xml:space="preserve"> Follow</w:t>
      </w:r>
      <w:r w:rsidR="00A610DA">
        <w:t>ing</w:t>
      </w:r>
      <w:r w:rsidR="00AC4B6C">
        <w:t xml:space="preserve"> the discussion each of the sub-regions reported back to the plenary.</w:t>
      </w:r>
    </w:p>
    <w:p w14:paraId="022CAC24" w14:textId="77777777" w:rsidR="00C54ACF" w:rsidRPr="00AD172F" w:rsidRDefault="00A00323" w:rsidP="006D3269">
      <w:pPr>
        <w:keepNext/>
        <w:spacing w:before="120" w:line="280" w:lineRule="atLeast"/>
        <w:rPr>
          <w:b/>
        </w:rPr>
      </w:pPr>
      <w:r w:rsidRPr="00AD172F">
        <w:rPr>
          <w:b/>
        </w:rPr>
        <w:t>Sub-r</w:t>
      </w:r>
      <w:r w:rsidR="00510AF6" w:rsidRPr="00AD172F">
        <w:rPr>
          <w:b/>
        </w:rPr>
        <w:t xml:space="preserve">egion 1: </w:t>
      </w:r>
      <w:r w:rsidR="004C4095" w:rsidRPr="00AD172F">
        <w:rPr>
          <w:b/>
        </w:rPr>
        <w:t>Ireland and UK</w:t>
      </w:r>
    </w:p>
    <w:p w14:paraId="06D49E73" w14:textId="77777777" w:rsidR="00390BCB" w:rsidRPr="00E927B5" w:rsidRDefault="008D3BC5" w:rsidP="006D3269">
      <w:pPr>
        <w:spacing w:before="120" w:line="280" w:lineRule="atLeast"/>
        <w:jc w:val="both"/>
      </w:pPr>
      <w:r>
        <w:t>5.2</w:t>
      </w:r>
      <w:r>
        <w:tab/>
        <w:t>Ireland agreed to</w:t>
      </w:r>
      <w:r w:rsidR="00AC4B6C">
        <w:t xml:space="preserve"> lead the development of risk man</w:t>
      </w:r>
      <w:r>
        <w:t xml:space="preserve">agement conclusions for sub-region 1. </w:t>
      </w:r>
      <w:r w:rsidR="00C54ACF">
        <w:t>The group</w:t>
      </w:r>
      <w:r>
        <w:t xml:space="preserve"> agreed with the preliminary scenario rankings. </w:t>
      </w:r>
      <w:r w:rsidR="00390BCB" w:rsidRPr="00E927B5">
        <w:t>E</w:t>
      </w:r>
      <w:r w:rsidR="004C4095">
        <w:noBreakHyphen/>
      </w:r>
      <w:r w:rsidR="00390BCB" w:rsidRPr="00E927B5">
        <w:t>navigation</w:t>
      </w:r>
      <w:r w:rsidR="004C4095">
        <w:t xml:space="preserve"> was </w:t>
      </w:r>
      <w:r w:rsidR="0065067B" w:rsidRPr="00E927B5">
        <w:t xml:space="preserve">the </w:t>
      </w:r>
      <w:r w:rsidR="00390BCB" w:rsidRPr="00E927B5">
        <w:t>most cost effective</w:t>
      </w:r>
      <w:r w:rsidR="004C4095">
        <w:t xml:space="preserve"> and the </w:t>
      </w:r>
      <w:r w:rsidR="00390BCB" w:rsidRPr="00E927B5">
        <w:t>most costly option</w:t>
      </w:r>
      <w:r>
        <w:t xml:space="preserve"> however the group felt </w:t>
      </w:r>
      <w:r w:rsidR="00636E5D">
        <w:t>BE-AWARE had to be based on realist</w:t>
      </w:r>
      <w:r w:rsidR="001B4566">
        <w:t>ic</w:t>
      </w:r>
      <w:r w:rsidR="00636E5D">
        <w:t xml:space="preserve"> assumptions and industry’s costs should be excluded.</w:t>
      </w:r>
      <w:r w:rsidR="00A00323">
        <w:t xml:space="preserve"> </w:t>
      </w:r>
    </w:p>
    <w:p w14:paraId="25CF4C31" w14:textId="77777777" w:rsidR="00132CF3" w:rsidRDefault="008D3BC5" w:rsidP="006D3269">
      <w:pPr>
        <w:spacing w:before="120" w:line="280" w:lineRule="atLeast"/>
        <w:jc w:val="both"/>
      </w:pPr>
      <w:r>
        <w:t>5.3</w:t>
      </w:r>
      <w:r>
        <w:tab/>
      </w:r>
      <w:r w:rsidR="00A00323">
        <w:t>The UK agreed to provide text on a foot</w:t>
      </w:r>
      <w:r w:rsidR="00132CF3" w:rsidRPr="00E927B5">
        <w:t xml:space="preserve">note on </w:t>
      </w:r>
      <w:r w:rsidR="00A00323">
        <w:t xml:space="preserve">dispersants in </w:t>
      </w:r>
      <w:r w:rsidR="00132CF3" w:rsidRPr="00E927B5">
        <w:t>rel</w:t>
      </w:r>
      <w:r w:rsidR="00A00323">
        <w:t xml:space="preserve">ation </w:t>
      </w:r>
      <w:r w:rsidR="00132CF3" w:rsidRPr="00E927B5">
        <w:t>to their nat</w:t>
      </w:r>
      <w:r w:rsidR="00A00323">
        <w:t>ional</w:t>
      </w:r>
      <w:r w:rsidR="00132CF3" w:rsidRPr="00E927B5">
        <w:t xml:space="preserve"> benefit analysis</w:t>
      </w:r>
      <w:r w:rsidR="00A00323">
        <w:t xml:space="preserve"> to be included in the </w:t>
      </w:r>
      <w:r>
        <w:t xml:space="preserve">final </w:t>
      </w:r>
      <w:r w:rsidR="00132CF3" w:rsidRPr="00E927B5">
        <w:t>report as a footnote.</w:t>
      </w:r>
    </w:p>
    <w:p w14:paraId="1CAAB6EE" w14:textId="77777777" w:rsidR="00132CF3" w:rsidRPr="00AD172F" w:rsidRDefault="0065067B" w:rsidP="006D3269">
      <w:pPr>
        <w:keepNext/>
        <w:spacing w:before="120" w:line="280" w:lineRule="atLeast"/>
        <w:rPr>
          <w:b/>
        </w:rPr>
      </w:pPr>
      <w:r w:rsidRPr="00AD172F">
        <w:rPr>
          <w:b/>
        </w:rPr>
        <w:t>Sub-region 2</w:t>
      </w:r>
      <w:r w:rsidR="00934657" w:rsidRPr="00AD172F">
        <w:rPr>
          <w:b/>
        </w:rPr>
        <w:t>: UK and Norway</w:t>
      </w:r>
    </w:p>
    <w:p w14:paraId="5C388976" w14:textId="77777777" w:rsidR="00AD172F" w:rsidRPr="00E927B5" w:rsidRDefault="008D3BC5" w:rsidP="006D3269">
      <w:pPr>
        <w:spacing w:before="120" w:line="280" w:lineRule="atLeast"/>
        <w:jc w:val="both"/>
      </w:pPr>
      <w:r>
        <w:t>5.4</w:t>
      </w:r>
      <w:r>
        <w:tab/>
        <w:t>Norway agreed to lead the development of risk management conclusions for sub-region 2.</w:t>
      </w:r>
      <w:r w:rsidR="00AC4B6C">
        <w:t xml:space="preserve"> </w:t>
      </w:r>
      <w:r w:rsidR="00A00323">
        <w:t xml:space="preserve">The </w:t>
      </w:r>
      <w:r w:rsidR="00934657">
        <w:t xml:space="preserve">sub-region </w:t>
      </w:r>
      <w:r w:rsidR="00A00323">
        <w:t>agreed the</w:t>
      </w:r>
      <w:r>
        <w:t xml:space="preserve"> preliminary scenario</w:t>
      </w:r>
      <w:r w:rsidR="00A00323">
        <w:t xml:space="preserve"> </w:t>
      </w:r>
      <w:r>
        <w:t>rankings, however t</w:t>
      </w:r>
      <w:r w:rsidR="00B65051">
        <w:t xml:space="preserve">hey </w:t>
      </w:r>
      <w:r w:rsidR="0023689F">
        <w:t xml:space="preserve">queried whether </w:t>
      </w:r>
      <w:r w:rsidR="0065067B" w:rsidRPr="00E927B5">
        <w:t xml:space="preserve">VTS needed </w:t>
      </w:r>
      <w:r w:rsidR="00B65051">
        <w:t xml:space="preserve">to be </w:t>
      </w:r>
      <w:r w:rsidR="00C94C9A">
        <w:t>retained,</w:t>
      </w:r>
      <w:r>
        <w:t xml:space="preserve"> as this was due to </w:t>
      </w:r>
      <w:r w:rsidR="00C94C9A">
        <w:t>drift from neighbouring regions</w:t>
      </w:r>
      <w:r w:rsidR="00B65051">
        <w:t>.</w:t>
      </w:r>
      <w:r w:rsidR="0065067B" w:rsidRPr="00E927B5">
        <w:t xml:space="preserve"> </w:t>
      </w:r>
      <w:r w:rsidR="00C94C9A">
        <w:t xml:space="preserve">The </w:t>
      </w:r>
      <w:r w:rsidR="00AB6330" w:rsidRPr="00E927B5">
        <w:t xml:space="preserve">UK </w:t>
      </w:r>
      <w:r w:rsidR="00B65051">
        <w:t xml:space="preserve">repeated the request </w:t>
      </w:r>
      <w:r w:rsidR="00A610DA">
        <w:t>from</w:t>
      </w:r>
      <w:r w:rsidR="0023689F">
        <w:t xml:space="preserve"> </w:t>
      </w:r>
      <w:r w:rsidR="00B65051">
        <w:t xml:space="preserve">sub-region 1 </w:t>
      </w:r>
      <w:r w:rsidR="0023689F">
        <w:t xml:space="preserve">above </w:t>
      </w:r>
      <w:r w:rsidR="00B65051">
        <w:t>for a footnote on dispersants</w:t>
      </w:r>
      <w:r w:rsidR="00AB6330" w:rsidRPr="00E927B5">
        <w:t>.</w:t>
      </w:r>
      <w:r w:rsidR="00AD172F">
        <w:t xml:space="preserve"> </w:t>
      </w:r>
      <w:r w:rsidR="00AD172F" w:rsidRPr="00E927B5">
        <w:t xml:space="preserve">Norway noted the </w:t>
      </w:r>
      <w:r w:rsidR="00C94C9A">
        <w:t xml:space="preserve">costs </w:t>
      </w:r>
      <w:r w:rsidR="00AD172F" w:rsidRPr="00E927B5">
        <w:t xml:space="preserve">of 100,000 euros per year for the TSS and said they would check that </w:t>
      </w:r>
      <w:r w:rsidR="00C94C9A" w:rsidRPr="00E927B5">
        <w:t>figure,</w:t>
      </w:r>
      <w:r w:rsidR="00AD172F" w:rsidRPr="00E927B5">
        <w:t xml:space="preserve"> as it seemed a bit high.</w:t>
      </w:r>
    </w:p>
    <w:p w14:paraId="7FFE5083" w14:textId="77777777" w:rsidR="00585A0D" w:rsidRPr="00AD172F" w:rsidRDefault="00585A0D" w:rsidP="006D3269">
      <w:pPr>
        <w:keepNext/>
        <w:spacing w:before="120" w:line="280" w:lineRule="atLeast"/>
        <w:rPr>
          <w:b/>
        </w:rPr>
      </w:pPr>
      <w:r w:rsidRPr="00AD172F">
        <w:rPr>
          <w:b/>
        </w:rPr>
        <w:t>Sub-region 3: Denmark, Germany, Netherlands, Norway and Sweden.</w:t>
      </w:r>
    </w:p>
    <w:p w14:paraId="5A63B59D" w14:textId="77777777" w:rsidR="00AB6330" w:rsidRPr="00E927B5" w:rsidRDefault="00C94C9A" w:rsidP="006D3269">
      <w:pPr>
        <w:spacing w:before="120" w:line="280" w:lineRule="atLeast"/>
        <w:jc w:val="both"/>
      </w:pPr>
      <w:r>
        <w:t>5.5</w:t>
      </w:r>
      <w:r>
        <w:tab/>
      </w:r>
      <w:r w:rsidR="00AC4B6C">
        <w:t xml:space="preserve">Denmark </w:t>
      </w:r>
      <w:r>
        <w:t xml:space="preserve">agreed to lead the development of risk management conclusions for sub-region 3. </w:t>
      </w:r>
      <w:r w:rsidR="00934657">
        <w:t>The sub-region a</w:t>
      </w:r>
      <w:r w:rsidR="00AB6330" w:rsidRPr="00E927B5">
        <w:t xml:space="preserve">greed </w:t>
      </w:r>
      <w:r>
        <w:t xml:space="preserve">with </w:t>
      </w:r>
      <w:r w:rsidR="00934657">
        <w:t xml:space="preserve">the </w:t>
      </w:r>
      <w:r>
        <w:t xml:space="preserve">preliminary scenario </w:t>
      </w:r>
      <w:r w:rsidR="00834CD7">
        <w:t>rankings. The group</w:t>
      </w:r>
      <w:r w:rsidR="00922D10">
        <w:t xml:space="preserve"> considered that </w:t>
      </w:r>
      <w:r w:rsidR="00AB6330" w:rsidRPr="00E927B5">
        <w:t xml:space="preserve">there </w:t>
      </w:r>
      <w:r w:rsidR="00922D10">
        <w:t>wa</w:t>
      </w:r>
      <w:r w:rsidR="00AB6330" w:rsidRPr="00E927B5">
        <w:t xml:space="preserve">s </w:t>
      </w:r>
      <w:r w:rsidR="00922D10">
        <w:t xml:space="preserve">a </w:t>
      </w:r>
      <w:r w:rsidR="00AB6330" w:rsidRPr="00E927B5">
        <w:t>close connection between TSS across</w:t>
      </w:r>
      <w:r w:rsidR="00922D10">
        <w:t xml:space="preserve"> the North Sea </w:t>
      </w:r>
      <w:r w:rsidR="00AB6330" w:rsidRPr="00E927B5">
        <w:t>and VTS in coastal area</w:t>
      </w:r>
      <w:r w:rsidR="00922D10">
        <w:t>s</w:t>
      </w:r>
      <w:r w:rsidR="00AB6330" w:rsidRPr="00E927B5">
        <w:t xml:space="preserve"> in N</w:t>
      </w:r>
      <w:r w:rsidR="00922D10">
        <w:t xml:space="preserve">orth </w:t>
      </w:r>
      <w:r w:rsidR="00AB6330" w:rsidRPr="00E927B5">
        <w:t>W</w:t>
      </w:r>
      <w:r w:rsidR="00922D10">
        <w:t>est</w:t>
      </w:r>
      <w:r w:rsidR="00AB6330" w:rsidRPr="00E927B5">
        <w:t xml:space="preserve"> D</w:t>
      </w:r>
      <w:r w:rsidR="00922D10">
        <w:t xml:space="preserve">enmark. TSS and VTS were </w:t>
      </w:r>
      <w:r w:rsidR="00E75C37">
        <w:t>prioritie</w:t>
      </w:r>
      <w:r w:rsidR="00E75C37" w:rsidRPr="00E927B5">
        <w:t>s</w:t>
      </w:r>
      <w:r w:rsidR="00AB6330" w:rsidRPr="00E927B5">
        <w:t xml:space="preserve"> </w:t>
      </w:r>
      <w:r w:rsidR="00922D10">
        <w:t xml:space="preserve">with </w:t>
      </w:r>
      <w:r w:rsidR="00AB6330" w:rsidRPr="00E927B5">
        <w:t xml:space="preserve">AIS </w:t>
      </w:r>
      <w:r w:rsidR="00922D10">
        <w:t xml:space="preserve">alarms in </w:t>
      </w:r>
      <w:r w:rsidR="00AB6330" w:rsidRPr="00E927B5">
        <w:t xml:space="preserve">windfarms </w:t>
      </w:r>
      <w:r w:rsidR="00922D10">
        <w:t xml:space="preserve">in third place. </w:t>
      </w:r>
      <w:r>
        <w:t xml:space="preserve">The group felt that </w:t>
      </w:r>
      <w:r w:rsidR="00922D10">
        <w:t>E-</w:t>
      </w:r>
      <w:r w:rsidR="00AB6330" w:rsidRPr="00E927B5">
        <w:t xml:space="preserve">navigation needed further development </w:t>
      </w:r>
      <w:r w:rsidR="00922D10">
        <w:t xml:space="preserve">before they could </w:t>
      </w:r>
      <w:r w:rsidR="0023689F">
        <w:t xml:space="preserve">base </w:t>
      </w:r>
      <w:r w:rsidRPr="00E927B5">
        <w:t>risk-reducing</w:t>
      </w:r>
      <w:r w:rsidR="00AB6330" w:rsidRPr="00E927B5">
        <w:t xml:space="preserve"> measures on it.</w:t>
      </w:r>
    </w:p>
    <w:p w14:paraId="3E3B23F9" w14:textId="77777777" w:rsidR="00AB6330" w:rsidRPr="00AD172F" w:rsidRDefault="00C244E3" w:rsidP="006D3269">
      <w:pPr>
        <w:keepNext/>
        <w:spacing w:before="120" w:line="280" w:lineRule="atLeast"/>
        <w:rPr>
          <w:b/>
        </w:rPr>
      </w:pPr>
      <w:r w:rsidRPr="00AD172F">
        <w:rPr>
          <w:b/>
        </w:rPr>
        <w:lastRenderedPageBreak/>
        <w:t>Sub-region 4: Germany, the Netherlands, Belgium, France, UK.</w:t>
      </w:r>
    </w:p>
    <w:p w14:paraId="7DDFDC6C" w14:textId="77777777" w:rsidR="00C244E3" w:rsidRDefault="00C94C9A" w:rsidP="006D3269">
      <w:pPr>
        <w:spacing w:before="120" w:line="280" w:lineRule="atLeast"/>
        <w:jc w:val="both"/>
      </w:pPr>
      <w:r>
        <w:t>5.6</w:t>
      </w:r>
      <w:r>
        <w:tab/>
      </w:r>
      <w:r w:rsidR="00AC4B6C">
        <w:t xml:space="preserve">The Netherlands </w:t>
      </w:r>
      <w:r>
        <w:t xml:space="preserve">agreed to lead the development of risk management conclusions for sub-region 4. </w:t>
      </w:r>
      <w:r w:rsidR="00834CD7">
        <w:t xml:space="preserve">The group (minus the UK who were not able to participate in this group) </w:t>
      </w:r>
      <w:r w:rsidR="00C54ACF">
        <w:t>a</w:t>
      </w:r>
      <w:r w:rsidR="00AB6330" w:rsidRPr="00E927B5">
        <w:t xml:space="preserve">greed in general on </w:t>
      </w:r>
      <w:r w:rsidR="00C244E3">
        <w:t xml:space="preserve">the </w:t>
      </w:r>
      <w:r w:rsidR="00AB6330" w:rsidRPr="00E927B5">
        <w:t>top 3</w:t>
      </w:r>
      <w:r>
        <w:t xml:space="preserve"> scenarios</w:t>
      </w:r>
      <w:r w:rsidR="00C244E3">
        <w:t>: TSS, AIS alarms and increased night visibility</w:t>
      </w:r>
      <w:r w:rsidR="00AB6330" w:rsidRPr="00E927B5">
        <w:t xml:space="preserve">. </w:t>
      </w:r>
      <w:r>
        <w:t xml:space="preserve">The Group </w:t>
      </w:r>
      <w:r w:rsidR="00834CD7">
        <w:t>also felt that t</w:t>
      </w:r>
      <w:r w:rsidR="00C244E3">
        <w:t>here should be generic conclusions for e-navigation and dispersa</w:t>
      </w:r>
      <w:r w:rsidR="00184D11">
        <w:t>n</w:t>
      </w:r>
      <w:r w:rsidR="00834CD7">
        <w:t>ts as these applied generically across the whole region.</w:t>
      </w:r>
    </w:p>
    <w:p w14:paraId="10181AB1" w14:textId="77777777" w:rsidR="00184D11" w:rsidRPr="00AD172F" w:rsidRDefault="00184D11" w:rsidP="006D3269">
      <w:pPr>
        <w:keepNext/>
        <w:spacing w:before="120" w:line="280" w:lineRule="atLeast"/>
        <w:rPr>
          <w:b/>
        </w:rPr>
      </w:pPr>
      <w:r w:rsidRPr="00AD172F">
        <w:rPr>
          <w:b/>
        </w:rPr>
        <w:t xml:space="preserve">Sub-region 5: France and UK </w:t>
      </w:r>
    </w:p>
    <w:p w14:paraId="07C4AABB" w14:textId="60E5AF23" w:rsidR="00E22BE3" w:rsidRPr="00E927B5" w:rsidRDefault="00834CD7" w:rsidP="006D3269">
      <w:pPr>
        <w:spacing w:before="120" w:line="280" w:lineRule="atLeast"/>
        <w:jc w:val="both"/>
      </w:pPr>
      <w:r>
        <w:t>5.7</w:t>
      </w:r>
      <w:r>
        <w:tab/>
        <w:t xml:space="preserve">The UK agreed to lead the development of risk management conclusions for sub-region 5. </w:t>
      </w:r>
      <w:r w:rsidR="00184D11">
        <w:t xml:space="preserve">The </w:t>
      </w:r>
      <w:r>
        <w:t>group noted that the risk management conclusion would need to be reconsidered once the VTS and night vision capability sce</w:t>
      </w:r>
      <w:r w:rsidR="00B805DD">
        <w:t>narios had been fully evaluated</w:t>
      </w:r>
      <w:r w:rsidR="00184D11">
        <w:t xml:space="preserve">. </w:t>
      </w:r>
      <w:r w:rsidR="00B805DD">
        <w:t xml:space="preserve">The group also </w:t>
      </w:r>
      <w:r w:rsidR="00AD172F">
        <w:t>a</w:t>
      </w:r>
      <w:r w:rsidR="00E22BE3" w:rsidRPr="00E927B5">
        <w:t>greed with</w:t>
      </w:r>
      <w:r w:rsidR="00B805DD">
        <w:t xml:space="preserve"> the</w:t>
      </w:r>
      <w:r w:rsidR="00E22BE3" w:rsidRPr="00E927B5">
        <w:t xml:space="preserve"> UK </w:t>
      </w:r>
      <w:r w:rsidR="00B805DD">
        <w:t>that dispersants could be a relevant scenario for the sub</w:t>
      </w:r>
      <w:r w:rsidR="00553A43">
        <w:t>-</w:t>
      </w:r>
      <w:r w:rsidR="00B805DD">
        <w:t>region.</w:t>
      </w:r>
    </w:p>
    <w:p w14:paraId="1ED684C7" w14:textId="77777777" w:rsidR="00AD172F" w:rsidRPr="00B805DD" w:rsidRDefault="00B805DD" w:rsidP="006D3269">
      <w:pPr>
        <w:keepNext/>
        <w:spacing w:before="120" w:line="280" w:lineRule="atLeast"/>
        <w:rPr>
          <w:b/>
          <w:sz w:val="26"/>
          <w:szCs w:val="26"/>
        </w:rPr>
      </w:pPr>
      <w:r w:rsidRPr="00B805DD">
        <w:rPr>
          <w:b/>
          <w:sz w:val="26"/>
          <w:szCs w:val="26"/>
        </w:rPr>
        <w:t>6.</w:t>
      </w:r>
      <w:r w:rsidRPr="00B805DD">
        <w:rPr>
          <w:b/>
          <w:sz w:val="26"/>
          <w:szCs w:val="26"/>
        </w:rPr>
        <w:tab/>
      </w:r>
      <w:r w:rsidR="00AD172F" w:rsidRPr="00B805DD">
        <w:rPr>
          <w:b/>
          <w:sz w:val="26"/>
          <w:szCs w:val="26"/>
        </w:rPr>
        <w:t>Next steps, Final Report and Implementation Plan</w:t>
      </w:r>
    </w:p>
    <w:p w14:paraId="26B08CA7" w14:textId="77777777" w:rsidR="00B805DD" w:rsidRPr="00E927B5" w:rsidRDefault="00B805DD" w:rsidP="00B805DD">
      <w:pPr>
        <w:spacing w:before="120" w:line="280" w:lineRule="atLeast"/>
        <w:jc w:val="both"/>
      </w:pPr>
      <w:r>
        <w:t>6.1</w:t>
      </w:r>
      <w:r>
        <w:tab/>
        <w:t xml:space="preserve">The Secretariat outlined the next steps for the development of final risk management conclusions, which would be included in the final project report. It was agreed that the sub-region leaders would provide short texts on the output of their discussions at the workshop, </w:t>
      </w:r>
      <w:r w:rsidRPr="00E927B5">
        <w:t xml:space="preserve">explaining </w:t>
      </w:r>
      <w:r>
        <w:t xml:space="preserve">the </w:t>
      </w:r>
      <w:r w:rsidRPr="00E927B5">
        <w:t>ranking</w:t>
      </w:r>
      <w:r>
        <w:t>s</w:t>
      </w:r>
      <w:r w:rsidRPr="00E927B5">
        <w:t xml:space="preserve"> </w:t>
      </w:r>
      <w:r>
        <w:t xml:space="preserve">and </w:t>
      </w:r>
      <w:r w:rsidRPr="00E927B5">
        <w:t xml:space="preserve">why they were chosen. </w:t>
      </w:r>
      <w:r>
        <w:t xml:space="preserve">Each group should reach a common </w:t>
      </w:r>
      <w:r w:rsidRPr="00E927B5">
        <w:t>understa</w:t>
      </w:r>
      <w:r>
        <w:t>n</w:t>
      </w:r>
      <w:r w:rsidRPr="00E927B5">
        <w:t xml:space="preserve">ding </w:t>
      </w:r>
      <w:r>
        <w:t xml:space="preserve">with their colleagues and submit their text to the Secretariat by Monday 5 October 2015. Following this there would be a </w:t>
      </w:r>
      <w:r w:rsidRPr="00E927B5">
        <w:t xml:space="preserve">webex </w:t>
      </w:r>
      <w:r>
        <w:t xml:space="preserve">at 09:00 UK Time (10:00 CET) </w:t>
      </w:r>
      <w:r w:rsidR="00A610DA">
        <w:t>on</w:t>
      </w:r>
      <w:r w:rsidR="00747A4C">
        <w:t xml:space="preserve"> Tuesday 6 October </w:t>
      </w:r>
      <w:r>
        <w:t xml:space="preserve">to agree the final risk management conclusions for </w:t>
      </w:r>
      <w:r w:rsidR="00AC7196">
        <w:t xml:space="preserve">inclusion in </w:t>
      </w:r>
      <w:r>
        <w:t>the</w:t>
      </w:r>
      <w:r w:rsidRPr="00E927B5">
        <w:t xml:space="preserve"> final project report.</w:t>
      </w:r>
    </w:p>
    <w:p w14:paraId="5E10ABA6" w14:textId="1DF090AA" w:rsidR="00B805DD" w:rsidRDefault="00AC7196" w:rsidP="006D3269">
      <w:pPr>
        <w:spacing w:before="120" w:line="280" w:lineRule="atLeast"/>
        <w:jc w:val="both"/>
      </w:pPr>
      <w:r>
        <w:t>6.2</w:t>
      </w:r>
      <w:r>
        <w:tab/>
        <w:t>T</w:t>
      </w:r>
      <w:r w:rsidR="0069161C">
        <w:t>he Secretariat outlined that whilst the project would finish with the development of Risk</w:t>
      </w:r>
      <w:r w:rsidR="00747A4C">
        <w:t xml:space="preserve"> Management Conclusions the Bonn</w:t>
      </w:r>
      <w:r w:rsidR="0069161C">
        <w:t xml:space="preserve"> Agreement was developing an implementation plan to take forward the results over the next few years. A draft outline of the plan would be cons</w:t>
      </w:r>
      <w:r w:rsidR="00747A4C">
        <w:t>idered at the Bonn Contracting P</w:t>
      </w:r>
      <w:r w:rsidR="0069161C">
        <w:t>arties meeting on the 23-24 September</w:t>
      </w:r>
      <w:r w:rsidR="005677B0">
        <w:t xml:space="preserve"> 20125</w:t>
      </w:r>
      <w:r w:rsidR="0069161C">
        <w:t>.</w:t>
      </w:r>
    </w:p>
    <w:p w14:paraId="4095D5FF" w14:textId="77777777" w:rsidR="0069161C" w:rsidRDefault="0069161C" w:rsidP="006D3269">
      <w:pPr>
        <w:spacing w:before="120" w:line="280" w:lineRule="atLeast"/>
        <w:jc w:val="both"/>
      </w:pPr>
      <w:r>
        <w:t>6.3</w:t>
      </w:r>
      <w:r>
        <w:tab/>
        <w:t>Sweden and Belgium highlighted the need to ensure that the final report was well-written and easy to understand, as it would be considered by</w:t>
      </w:r>
      <w:r w:rsidRPr="00E927B5">
        <w:t xml:space="preserve"> decision makers </w:t>
      </w:r>
      <w:r>
        <w:t>and other organisations which may not have the technical expertise or knowledge of the project. Norway highlighted that depending on the timing implementation of the risk management conclusion could be a topic for the next Bonn Agreement Ministerial Meeting.</w:t>
      </w:r>
    </w:p>
    <w:p w14:paraId="4F3F778B" w14:textId="77777777" w:rsidR="00AD172F" w:rsidRDefault="00AD172F" w:rsidP="006D3269">
      <w:pPr>
        <w:spacing w:before="120" w:line="280" w:lineRule="atLeast"/>
        <w:jc w:val="both"/>
      </w:pPr>
    </w:p>
    <w:sectPr w:rsidR="00AD172F" w:rsidSect="00E927B5">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9AFC1" w14:textId="77777777" w:rsidR="00F50C7E" w:rsidRDefault="00F50C7E" w:rsidP="00222C8D">
      <w:pPr>
        <w:spacing w:after="0" w:line="240" w:lineRule="auto"/>
      </w:pPr>
      <w:r>
        <w:separator/>
      </w:r>
    </w:p>
  </w:endnote>
  <w:endnote w:type="continuationSeparator" w:id="0">
    <w:p w14:paraId="3517C412" w14:textId="77777777" w:rsidR="00F50C7E" w:rsidRDefault="00F50C7E" w:rsidP="0022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D3AFC" w14:textId="77777777" w:rsidR="00F50C7E" w:rsidRPr="00CB02D3" w:rsidRDefault="00F50C7E" w:rsidP="00A454CA">
    <w:pPr>
      <w:pStyle w:val="Footer"/>
      <w:tabs>
        <w:tab w:val="left" w:pos="272"/>
      </w:tabs>
      <w:jc w:val="right"/>
      <w:rPr>
        <w:rStyle w:val="PageNumber"/>
        <w:rFonts w:ascii="Calibri" w:hAnsi="Calibri"/>
        <w:sz w:val="22"/>
        <w:szCs w:val="18"/>
      </w:rPr>
    </w:pPr>
    <w:r w:rsidRPr="00CB02D3">
      <w:rPr>
        <w:rStyle w:val="PageNumber"/>
        <w:rFonts w:ascii="Calibri" w:hAnsi="Calibri"/>
        <w:sz w:val="22"/>
        <w:szCs w:val="18"/>
      </w:rPr>
      <w:fldChar w:fldCharType="begin"/>
    </w:r>
    <w:r w:rsidRPr="00CB02D3">
      <w:rPr>
        <w:rStyle w:val="PageNumber"/>
        <w:rFonts w:ascii="Calibri" w:hAnsi="Calibri"/>
        <w:sz w:val="22"/>
        <w:szCs w:val="18"/>
      </w:rPr>
      <w:instrText xml:space="preserve"> PAGE </w:instrText>
    </w:r>
    <w:r w:rsidRPr="00CB02D3">
      <w:rPr>
        <w:rStyle w:val="PageNumber"/>
        <w:rFonts w:ascii="Calibri" w:hAnsi="Calibri"/>
        <w:sz w:val="22"/>
        <w:szCs w:val="18"/>
      </w:rPr>
      <w:fldChar w:fldCharType="separate"/>
    </w:r>
    <w:r w:rsidR="00381236">
      <w:rPr>
        <w:rStyle w:val="PageNumber"/>
        <w:rFonts w:ascii="Calibri" w:hAnsi="Calibri"/>
        <w:noProof/>
        <w:sz w:val="22"/>
        <w:szCs w:val="18"/>
      </w:rPr>
      <w:t>1</w:t>
    </w:r>
    <w:r w:rsidRPr="00CB02D3">
      <w:rPr>
        <w:rStyle w:val="PageNumber"/>
        <w:rFonts w:ascii="Calibri" w:hAnsi="Calibri"/>
        <w:sz w:val="22"/>
        <w:szCs w:val="18"/>
      </w:rPr>
      <w:fldChar w:fldCharType="end"/>
    </w:r>
    <w:r w:rsidRPr="00CB02D3">
      <w:rPr>
        <w:rStyle w:val="PageNumber"/>
        <w:rFonts w:ascii="Calibri" w:hAnsi="Calibri"/>
        <w:sz w:val="22"/>
        <w:szCs w:val="18"/>
      </w:rPr>
      <w:t xml:space="preserve"> of </w:t>
    </w:r>
    <w:r w:rsidRPr="00CB02D3">
      <w:rPr>
        <w:rStyle w:val="PageNumber"/>
        <w:rFonts w:ascii="Calibri" w:hAnsi="Calibri"/>
        <w:sz w:val="22"/>
        <w:szCs w:val="18"/>
      </w:rPr>
      <w:fldChar w:fldCharType="begin"/>
    </w:r>
    <w:r w:rsidRPr="00CB02D3">
      <w:rPr>
        <w:rStyle w:val="PageNumber"/>
        <w:rFonts w:ascii="Calibri" w:hAnsi="Calibri"/>
        <w:sz w:val="22"/>
        <w:szCs w:val="18"/>
      </w:rPr>
      <w:instrText xml:space="preserve"> NUMPAGES </w:instrText>
    </w:r>
    <w:r w:rsidRPr="00CB02D3">
      <w:rPr>
        <w:rStyle w:val="PageNumber"/>
        <w:rFonts w:ascii="Calibri" w:hAnsi="Calibri"/>
        <w:sz w:val="22"/>
        <w:szCs w:val="18"/>
      </w:rPr>
      <w:fldChar w:fldCharType="separate"/>
    </w:r>
    <w:r w:rsidR="00381236">
      <w:rPr>
        <w:rStyle w:val="PageNumber"/>
        <w:rFonts w:ascii="Calibri" w:hAnsi="Calibri"/>
        <w:noProof/>
        <w:sz w:val="22"/>
        <w:szCs w:val="18"/>
      </w:rPr>
      <w:t>6</w:t>
    </w:r>
    <w:r w:rsidRPr="00CB02D3">
      <w:rPr>
        <w:rStyle w:val="PageNumber"/>
        <w:rFonts w:ascii="Calibri" w:hAnsi="Calibri"/>
        <w:sz w:val="22"/>
        <w:szCs w:val="18"/>
      </w:rPr>
      <w:fldChar w:fldCharType="end"/>
    </w:r>
  </w:p>
  <w:p w14:paraId="036CA14E" w14:textId="77777777" w:rsidR="00F50C7E" w:rsidRPr="00CB02D3" w:rsidRDefault="00F50C7E" w:rsidP="00A454CA">
    <w:pPr>
      <w:pStyle w:val="Footer"/>
      <w:tabs>
        <w:tab w:val="left" w:leader="underscore" w:pos="9639"/>
      </w:tabs>
      <w:rPr>
        <w:rFonts w:ascii="Calibri" w:hAnsi="Calibri"/>
        <w:sz w:val="4"/>
        <w:szCs w:val="18"/>
      </w:rPr>
    </w:pPr>
    <w:r w:rsidRPr="00CB02D3">
      <w:rPr>
        <w:rStyle w:val="PageNumber"/>
        <w:rFonts w:ascii="Calibri" w:hAnsi="Calibri"/>
        <w:sz w:val="4"/>
        <w:szCs w:val="18"/>
      </w:rPr>
      <w:tab/>
    </w:r>
  </w:p>
  <w:p w14:paraId="7974D2F2" w14:textId="77777777" w:rsidR="00F50C7E" w:rsidRDefault="00F50C7E" w:rsidP="00A454CA">
    <w:pPr>
      <w:pStyle w:val="Footer"/>
      <w:tabs>
        <w:tab w:val="clear" w:pos="4513"/>
        <w:tab w:val="clear" w:pos="9026"/>
        <w:tab w:val="right" w:leader="underscore" w:pos="9639"/>
      </w:tabs>
      <w:spacing w:before="120"/>
      <w:rPr>
        <w:rFonts w:ascii="Calibri" w:hAnsi="Calibri"/>
        <w:szCs w:val="18"/>
      </w:rPr>
    </w:pPr>
    <w:r>
      <w:rPr>
        <w:rFonts w:ascii="Calibri" w:hAnsi="Calibri"/>
        <w:szCs w:val="18"/>
      </w:rPr>
      <w:tab/>
    </w:r>
    <w:r>
      <w:rPr>
        <w:rFonts w:ascii="Calibri" w:hAnsi="Calibri"/>
        <w:szCs w:val="18"/>
      </w:rPr>
      <w:tab/>
    </w:r>
  </w:p>
  <w:p w14:paraId="11CD952A" w14:textId="77777777" w:rsidR="00F50C7E" w:rsidRPr="00CB02D3" w:rsidRDefault="00F50C7E" w:rsidP="005A50D8">
    <w:pPr>
      <w:pStyle w:val="Footer"/>
      <w:tabs>
        <w:tab w:val="clear" w:pos="4513"/>
        <w:tab w:val="clear" w:pos="9026"/>
        <w:tab w:val="right" w:pos="9639"/>
      </w:tabs>
      <w:spacing w:before="120"/>
      <w:jc w:val="center"/>
      <w:rPr>
        <w:rFonts w:ascii="Calibri" w:hAnsi="Calibri"/>
        <w:szCs w:val="18"/>
      </w:rPr>
    </w:pPr>
    <w:r w:rsidRPr="00CB02D3">
      <w:rPr>
        <w:rFonts w:ascii="Calibri" w:hAnsi="Calibri"/>
        <w:szCs w:val="18"/>
      </w:rPr>
      <w:t>B</w:t>
    </w:r>
    <w:r>
      <w:rPr>
        <w:rFonts w:ascii="Calibri" w:hAnsi="Calibri"/>
        <w:szCs w:val="18"/>
      </w:rPr>
      <w:t>E-AWARE II Risk Management Conclusions Workshop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84455" w14:textId="77777777" w:rsidR="00F50C7E" w:rsidRDefault="00F50C7E" w:rsidP="00222C8D">
      <w:pPr>
        <w:spacing w:after="0" w:line="240" w:lineRule="auto"/>
      </w:pPr>
      <w:r>
        <w:separator/>
      </w:r>
    </w:p>
  </w:footnote>
  <w:footnote w:type="continuationSeparator" w:id="0">
    <w:p w14:paraId="04089A61" w14:textId="77777777" w:rsidR="00F50C7E" w:rsidRDefault="00F50C7E" w:rsidP="00222C8D">
      <w:pPr>
        <w:spacing w:after="0" w:line="240" w:lineRule="auto"/>
      </w:pPr>
      <w:r>
        <w:continuationSeparator/>
      </w:r>
    </w:p>
  </w:footnote>
  <w:footnote w:id="1">
    <w:p w14:paraId="753E4F22" w14:textId="77777777" w:rsidR="00F50C7E" w:rsidRPr="00B61B2E" w:rsidRDefault="00F50C7E" w:rsidP="00B61B2E">
      <w:pPr>
        <w:rPr>
          <w:rFonts w:ascii="Times" w:eastAsia="Times New Roman" w:hAnsi="Times" w:cs="Times New Roman"/>
          <w:sz w:val="16"/>
          <w:szCs w:val="16"/>
        </w:rPr>
      </w:pPr>
      <w:r w:rsidRPr="00B61B2E">
        <w:rPr>
          <w:rStyle w:val="FootnoteReference"/>
          <w:sz w:val="16"/>
          <w:szCs w:val="16"/>
        </w:rPr>
        <w:footnoteRef/>
      </w:r>
      <w:r w:rsidRPr="00B61B2E">
        <w:rPr>
          <w:sz w:val="16"/>
          <w:szCs w:val="16"/>
        </w:rPr>
        <w:t xml:space="preserve"> </w:t>
      </w:r>
      <w:r w:rsidRPr="00B61B2E">
        <w:rPr>
          <w:sz w:val="16"/>
          <w:szCs w:val="16"/>
          <w:lang w:val="en-US"/>
        </w:rPr>
        <w:t xml:space="preserve">IMO Sub committee on Navigation, NAV 59-6, </w:t>
      </w:r>
      <w:r w:rsidRPr="00B61B2E">
        <w:rPr>
          <w:rFonts w:eastAsia="Times New Roman" w:cs="Times New Roman"/>
          <w:sz w:val="16"/>
          <w:szCs w:val="16"/>
        </w:rPr>
        <w:t>Development of an E-Navigation Strategy Implementation Plan, Report of the Correspondence Group on E-Navigation to NAV 59</w:t>
      </w:r>
      <w:r>
        <w:rPr>
          <w:rFonts w:eastAsia="Times New Roman" w:cs="Times New Roman"/>
          <w:sz w:val="16"/>
          <w:szCs w:val="16"/>
        </w:rPr>
        <w:t>.</w:t>
      </w:r>
    </w:p>
    <w:p w14:paraId="726ECC13" w14:textId="77777777" w:rsidR="00F50C7E" w:rsidRPr="00B61B2E" w:rsidRDefault="00F50C7E">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96955"/>
    <w:multiLevelType w:val="hybridMultilevel"/>
    <w:tmpl w:val="54B879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04D"/>
    <w:rsid w:val="00000465"/>
    <w:rsid w:val="00003B04"/>
    <w:rsid w:val="000103C4"/>
    <w:rsid w:val="00023996"/>
    <w:rsid w:val="00033BF8"/>
    <w:rsid w:val="000534D5"/>
    <w:rsid w:val="0006210D"/>
    <w:rsid w:val="00070F7C"/>
    <w:rsid w:val="00072B9A"/>
    <w:rsid w:val="00083AD3"/>
    <w:rsid w:val="000A504D"/>
    <w:rsid w:val="000A777E"/>
    <w:rsid w:val="000B19E7"/>
    <w:rsid w:val="000B3B42"/>
    <w:rsid w:val="000B4139"/>
    <w:rsid w:val="000C292B"/>
    <w:rsid w:val="000C534D"/>
    <w:rsid w:val="000D582A"/>
    <w:rsid w:val="000E5EFB"/>
    <w:rsid w:val="000F387F"/>
    <w:rsid w:val="001079EE"/>
    <w:rsid w:val="001122E4"/>
    <w:rsid w:val="00124A75"/>
    <w:rsid w:val="00132CF3"/>
    <w:rsid w:val="00146904"/>
    <w:rsid w:val="00151D88"/>
    <w:rsid w:val="00162A59"/>
    <w:rsid w:val="00165E4B"/>
    <w:rsid w:val="00170138"/>
    <w:rsid w:val="00184D11"/>
    <w:rsid w:val="00186EE5"/>
    <w:rsid w:val="00187231"/>
    <w:rsid w:val="0019625D"/>
    <w:rsid w:val="001B4566"/>
    <w:rsid w:val="001B7ED7"/>
    <w:rsid w:val="001D02F7"/>
    <w:rsid w:val="001D0FE8"/>
    <w:rsid w:val="001F5D82"/>
    <w:rsid w:val="00202611"/>
    <w:rsid w:val="0020702F"/>
    <w:rsid w:val="00214B51"/>
    <w:rsid w:val="002203A2"/>
    <w:rsid w:val="00220419"/>
    <w:rsid w:val="00221266"/>
    <w:rsid w:val="00222C8D"/>
    <w:rsid w:val="0022628E"/>
    <w:rsid w:val="00226E81"/>
    <w:rsid w:val="0023689F"/>
    <w:rsid w:val="00262BC2"/>
    <w:rsid w:val="00265C55"/>
    <w:rsid w:val="00272ED8"/>
    <w:rsid w:val="00291544"/>
    <w:rsid w:val="00294D4C"/>
    <w:rsid w:val="002B1D16"/>
    <w:rsid w:val="002B568A"/>
    <w:rsid w:val="002D10F6"/>
    <w:rsid w:val="002D1333"/>
    <w:rsid w:val="002E0514"/>
    <w:rsid w:val="002E69E5"/>
    <w:rsid w:val="002F014B"/>
    <w:rsid w:val="002F26A0"/>
    <w:rsid w:val="002F5248"/>
    <w:rsid w:val="00311920"/>
    <w:rsid w:val="003175A5"/>
    <w:rsid w:val="00324271"/>
    <w:rsid w:val="00334406"/>
    <w:rsid w:val="00344BF1"/>
    <w:rsid w:val="00380BD4"/>
    <w:rsid w:val="00381236"/>
    <w:rsid w:val="00381BA6"/>
    <w:rsid w:val="00383553"/>
    <w:rsid w:val="003861FC"/>
    <w:rsid w:val="00390BCB"/>
    <w:rsid w:val="003C114C"/>
    <w:rsid w:val="003D0F69"/>
    <w:rsid w:val="003D40FA"/>
    <w:rsid w:val="003D7C29"/>
    <w:rsid w:val="0043329E"/>
    <w:rsid w:val="004476D6"/>
    <w:rsid w:val="0045149F"/>
    <w:rsid w:val="004536E0"/>
    <w:rsid w:val="00454303"/>
    <w:rsid w:val="00455B6F"/>
    <w:rsid w:val="0045728F"/>
    <w:rsid w:val="004715D0"/>
    <w:rsid w:val="00472DB5"/>
    <w:rsid w:val="004A1C71"/>
    <w:rsid w:val="004B075E"/>
    <w:rsid w:val="004C4095"/>
    <w:rsid w:val="004D525E"/>
    <w:rsid w:val="004E2D77"/>
    <w:rsid w:val="004F557C"/>
    <w:rsid w:val="00510AF6"/>
    <w:rsid w:val="005171D2"/>
    <w:rsid w:val="005341E3"/>
    <w:rsid w:val="00550708"/>
    <w:rsid w:val="00550EB9"/>
    <w:rsid w:val="00553A43"/>
    <w:rsid w:val="005665C3"/>
    <w:rsid w:val="005677B0"/>
    <w:rsid w:val="00584F9C"/>
    <w:rsid w:val="00585A0D"/>
    <w:rsid w:val="00591F03"/>
    <w:rsid w:val="005A50D8"/>
    <w:rsid w:val="005B6ACC"/>
    <w:rsid w:val="005C2AFB"/>
    <w:rsid w:val="005C3910"/>
    <w:rsid w:val="005D50D7"/>
    <w:rsid w:val="00607447"/>
    <w:rsid w:val="00610806"/>
    <w:rsid w:val="006220A5"/>
    <w:rsid w:val="00631F9E"/>
    <w:rsid w:val="006329CA"/>
    <w:rsid w:val="00636E5D"/>
    <w:rsid w:val="006402DB"/>
    <w:rsid w:val="0065067B"/>
    <w:rsid w:val="00651D7E"/>
    <w:rsid w:val="006618DB"/>
    <w:rsid w:val="00662D7F"/>
    <w:rsid w:val="00663B7C"/>
    <w:rsid w:val="00663C5C"/>
    <w:rsid w:val="0066469D"/>
    <w:rsid w:val="00665D20"/>
    <w:rsid w:val="00665F93"/>
    <w:rsid w:val="0069161C"/>
    <w:rsid w:val="006A21A3"/>
    <w:rsid w:val="006C7D37"/>
    <w:rsid w:val="006D3269"/>
    <w:rsid w:val="006E5071"/>
    <w:rsid w:val="006E57E3"/>
    <w:rsid w:val="006F0F39"/>
    <w:rsid w:val="006F3D1E"/>
    <w:rsid w:val="006F7EC1"/>
    <w:rsid w:val="00702EB9"/>
    <w:rsid w:val="00721BCC"/>
    <w:rsid w:val="00747712"/>
    <w:rsid w:val="007477EC"/>
    <w:rsid w:val="00747A4C"/>
    <w:rsid w:val="00751F76"/>
    <w:rsid w:val="00761FE5"/>
    <w:rsid w:val="00762027"/>
    <w:rsid w:val="00762960"/>
    <w:rsid w:val="00763D5B"/>
    <w:rsid w:val="00766BF9"/>
    <w:rsid w:val="00770E0E"/>
    <w:rsid w:val="0077366D"/>
    <w:rsid w:val="007775CD"/>
    <w:rsid w:val="00781D47"/>
    <w:rsid w:val="007A4E10"/>
    <w:rsid w:val="007B65A9"/>
    <w:rsid w:val="007C7CD4"/>
    <w:rsid w:val="007D111C"/>
    <w:rsid w:val="007D4C51"/>
    <w:rsid w:val="007E45B4"/>
    <w:rsid w:val="007F1BE8"/>
    <w:rsid w:val="008074DA"/>
    <w:rsid w:val="008150DE"/>
    <w:rsid w:val="0082379F"/>
    <w:rsid w:val="00825B43"/>
    <w:rsid w:val="0082772E"/>
    <w:rsid w:val="00834CD7"/>
    <w:rsid w:val="00835912"/>
    <w:rsid w:val="00844BB9"/>
    <w:rsid w:val="0085332A"/>
    <w:rsid w:val="008631EA"/>
    <w:rsid w:val="00864A07"/>
    <w:rsid w:val="00876B6F"/>
    <w:rsid w:val="0088214A"/>
    <w:rsid w:val="0089167C"/>
    <w:rsid w:val="00896774"/>
    <w:rsid w:val="008B1508"/>
    <w:rsid w:val="008C1066"/>
    <w:rsid w:val="008D3BC5"/>
    <w:rsid w:val="008E488C"/>
    <w:rsid w:val="009005C4"/>
    <w:rsid w:val="00916CBC"/>
    <w:rsid w:val="00917773"/>
    <w:rsid w:val="00922D10"/>
    <w:rsid w:val="00934471"/>
    <w:rsid w:val="00934657"/>
    <w:rsid w:val="0093489D"/>
    <w:rsid w:val="00944BE6"/>
    <w:rsid w:val="00952A56"/>
    <w:rsid w:val="009576B4"/>
    <w:rsid w:val="00965938"/>
    <w:rsid w:val="00967619"/>
    <w:rsid w:val="0097630A"/>
    <w:rsid w:val="009805FD"/>
    <w:rsid w:val="00996D55"/>
    <w:rsid w:val="00996F7E"/>
    <w:rsid w:val="009A2E77"/>
    <w:rsid w:val="009A45DA"/>
    <w:rsid w:val="009C1A7A"/>
    <w:rsid w:val="009C2BDD"/>
    <w:rsid w:val="009D7E03"/>
    <w:rsid w:val="00A00323"/>
    <w:rsid w:val="00A06D07"/>
    <w:rsid w:val="00A117C8"/>
    <w:rsid w:val="00A22D0C"/>
    <w:rsid w:val="00A23EFB"/>
    <w:rsid w:val="00A31F62"/>
    <w:rsid w:val="00A454CA"/>
    <w:rsid w:val="00A610DA"/>
    <w:rsid w:val="00A702EF"/>
    <w:rsid w:val="00A7698E"/>
    <w:rsid w:val="00AB6330"/>
    <w:rsid w:val="00AC4B6C"/>
    <w:rsid w:val="00AC7196"/>
    <w:rsid w:val="00AD0C98"/>
    <w:rsid w:val="00AD172F"/>
    <w:rsid w:val="00AE2DEE"/>
    <w:rsid w:val="00B05C9A"/>
    <w:rsid w:val="00B10A99"/>
    <w:rsid w:val="00B13C4B"/>
    <w:rsid w:val="00B326B0"/>
    <w:rsid w:val="00B44C9F"/>
    <w:rsid w:val="00B61B2E"/>
    <w:rsid w:val="00B65051"/>
    <w:rsid w:val="00B6577B"/>
    <w:rsid w:val="00B805DD"/>
    <w:rsid w:val="00B816E2"/>
    <w:rsid w:val="00B950DB"/>
    <w:rsid w:val="00BB68E0"/>
    <w:rsid w:val="00BC0E7B"/>
    <w:rsid w:val="00BC7743"/>
    <w:rsid w:val="00BE4F27"/>
    <w:rsid w:val="00BF1851"/>
    <w:rsid w:val="00BF6434"/>
    <w:rsid w:val="00C0453D"/>
    <w:rsid w:val="00C12B58"/>
    <w:rsid w:val="00C222B9"/>
    <w:rsid w:val="00C244E3"/>
    <w:rsid w:val="00C40655"/>
    <w:rsid w:val="00C5372B"/>
    <w:rsid w:val="00C54ACF"/>
    <w:rsid w:val="00C771A1"/>
    <w:rsid w:val="00C81C09"/>
    <w:rsid w:val="00C82BEC"/>
    <w:rsid w:val="00C94C9A"/>
    <w:rsid w:val="00CA2192"/>
    <w:rsid w:val="00CA6417"/>
    <w:rsid w:val="00CB1C13"/>
    <w:rsid w:val="00CB1D8F"/>
    <w:rsid w:val="00CB7709"/>
    <w:rsid w:val="00CC5A94"/>
    <w:rsid w:val="00CC63CD"/>
    <w:rsid w:val="00CD3273"/>
    <w:rsid w:val="00CE3322"/>
    <w:rsid w:val="00CE34DB"/>
    <w:rsid w:val="00CE520C"/>
    <w:rsid w:val="00D016F7"/>
    <w:rsid w:val="00D2360F"/>
    <w:rsid w:val="00D422CD"/>
    <w:rsid w:val="00D434D7"/>
    <w:rsid w:val="00D43E24"/>
    <w:rsid w:val="00D4522A"/>
    <w:rsid w:val="00D540A9"/>
    <w:rsid w:val="00D6121C"/>
    <w:rsid w:val="00D808CF"/>
    <w:rsid w:val="00D831E6"/>
    <w:rsid w:val="00D96F94"/>
    <w:rsid w:val="00D97D8D"/>
    <w:rsid w:val="00DA2D18"/>
    <w:rsid w:val="00DA606F"/>
    <w:rsid w:val="00DC3228"/>
    <w:rsid w:val="00DD21AF"/>
    <w:rsid w:val="00DE0FE0"/>
    <w:rsid w:val="00DF1686"/>
    <w:rsid w:val="00E01B7F"/>
    <w:rsid w:val="00E029CC"/>
    <w:rsid w:val="00E03001"/>
    <w:rsid w:val="00E04913"/>
    <w:rsid w:val="00E22BE3"/>
    <w:rsid w:val="00E33641"/>
    <w:rsid w:val="00E35E7C"/>
    <w:rsid w:val="00E36E61"/>
    <w:rsid w:val="00E376F0"/>
    <w:rsid w:val="00E43AE8"/>
    <w:rsid w:val="00E57C72"/>
    <w:rsid w:val="00E67408"/>
    <w:rsid w:val="00E75C37"/>
    <w:rsid w:val="00E90037"/>
    <w:rsid w:val="00E927B5"/>
    <w:rsid w:val="00E94A64"/>
    <w:rsid w:val="00EA6C7F"/>
    <w:rsid w:val="00EB57B8"/>
    <w:rsid w:val="00EC12C7"/>
    <w:rsid w:val="00ED1C8C"/>
    <w:rsid w:val="00ED2777"/>
    <w:rsid w:val="00ED41F8"/>
    <w:rsid w:val="00EF57D5"/>
    <w:rsid w:val="00F11832"/>
    <w:rsid w:val="00F14516"/>
    <w:rsid w:val="00F200B7"/>
    <w:rsid w:val="00F22143"/>
    <w:rsid w:val="00F2273B"/>
    <w:rsid w:val="00F247E7"/>
    <w:rsid w:val="00F3233A"/>
    <w:rsid w:val="00F36630"/>
    <w:rsid w:val="00F37C69"/>
    <w:rsid w:val="00F4304D"/>
    <w:rsid w:val="00F50667"/>
    <w:rsid w:val="00F50C7E"/>
    <w:rsid w:val="00F55FCF"/>
    <w:rsid w:val="00F64512"/>
    <w:rsid w:val="00F65681"/>
    <w:rsid w:val="00F71397"/>
    <w:rsid w:val="00F72F50"/>
    <w:rsid w:val="00F77AEB"/>
    <w:rsid w:val="00F81D3D"/>
    <w:rsid w:val="00F81DFF"/>
    <w:rsid w:val="00F975F5"/>
    <w:rsid w:val="00FA4476"/>
    <w:rsid w:val="00FC73A8"/>
    <w:rsid w:val="00FC7ECD"/>
    <w:rsid w:val="00FD0B86"/>
    <w:rsid w:val="00FD1C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0E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6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C7F"/>
    <w:rPr>
      <w:rFonts w:ascii="Tahoma" w:hAnsi="Tahoma" w:cs="Tahoma"/>
      <w:sz w:val="16"/>
      <w:szCs w:val="16"/>
    </w:rPr>
  </w:style>
  <w:style w:type="paragraph" w:styleId="Header">
    <w:name w:val="header"/>
    <w:basedOn w:val="Normal"/>
    <w:link w:val="HeaderChar"/>
    <w:uiPriority w:val="99"/>
    <w:unhideWhenUsed/>
    <w:rsid w:val="00222C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C8D"/>
  </w:style>
  <w:style w:type="paragraph" w:styleId="Footer">
    <w:name w:val="footer"/>
    <w:aliases w:val="Footer1"/>
    <w:basedOn w:val="Normal"/>
    <w:link w:val="FooterChar"/>
    <w:unhideWhenUsed/>
    <w:rsid w:val="00222C8D"/>
    <w:pPr>
      <w:tabs>
        <w:tab w:val="center" w:pos="4513"/>
        <w:tab w:val="right" w:pos="9026"/>
      </w:tabs>
      <w:spacing w:after="0" w:line="240" w:lineRule="auto"/>
    </w:pPr>
  </w:style>
  <w:style w:type="character" w:customStyle="1" w:styleId="FooterChar">
    <w:name w:val="Footer Char"/>
    <w:aliases w:val="Footer1 Char"/>
    <w:basedOn w:val="DefaultParagraphFont"/>
    <w:link w:val="Footer"/>
    <w:rsid w:val="00222C8D"/>
  </w:style>
  <w:style w:type="paragraph" w:styleId="ListParagraph">
    <w:name w:val="List Paragraph"/>
    <w:basedOn w:val="Normal"/>
    <w:uiPriority w:val="34"/>
    <w:qFormat/>
    <w:rsid w:val="006618DB"/>
    <w:pPr>
      <w:ind w:left="720"/>
      <w:contextualSpacing/>
    </w:pPr>
  </w:style>
  <w:style w:type="character" w:styleId="PageNumber">
    <w:name w:val="page number"/>
    <w:rsid w:val="00A454CA"/>
    <w:rPr>
      <w:rFonts w:ascii="Arial" w:hAnsi="Arial"/>
      <w:sz w:val="18"/>
    </w:rPr>
  </w:style>
  <w:style w:type="paragraph" w:styleId="FootnoteText">
    <w:name w:val="footnote text"/>
    <w:basedOn w:val="Normal"/>
    <w:link w:val="FootnoteTextChar"/>
    <w:uiPriority w:val="99"/>
    <w:unhideWhenUsed/>
    <w:rsid w:val="00B61B2E"/>
    <w:pPr>
      <w:spacing w:after="0" w:line="240" w:lineRule="auto"/>
    </w:pPr>
    <w:rPr>
      <w:sz w:val="24"/>
      <w:szCs w:val="24"/>
    </w:rPr>
  </w:style>
  <w:style w:type="character" w:customStyle="1" w:styleId="FootnoteTextChar">
    <w:name w:val="Footnote Text Char"/>
    <w:basedOn w:val="DefaultParagraphFont"/>
    <w:link w:val="FootnoteText"/>
    <w:uiPriority w:val="99"/>
    <w:rsid w:val="00B61B2E"/>
    <w:rPr>
      <w:sz w:val="24"/>
      <w:szCs w:val="24"/>
    </w:rPr>
  </w:style>
  <w:style w:type="character" w:styleId="FootnoteReference">
    <w:name w:val="footnote reference"/>
    <w:basedOn w:val="DefaultParagraphFont"/>
    <w:uiPriority w:val="99"/>
    <w:unhideWhenUsed/>
    <w:rsid w:val="00B61B2E"/>
    <w:rPr>
      <w:vertAlign w:val="superscript"/>
    </w:rPr>
  </w:style>
  <w:style w:type="character" w:styleId="CommentReference">
    <w:name w:val="annotation reference"/>
    <w:basedOn w:val="DefaultParagraphFont"/>
    <w:uiPriority w:val="99"/>
    <w:semiHidden/>
    <w:unhideWhenUsed/>
    <w:rsid w:val="004536E0"/>
    <w:rPr>
      <w:sz w:val="16"/>
      <w:szCs w:val="16"/>
    </w:rPr>
  </w:style>
  <w:style w:type="paragraph" w:styleId="CommentText">
    <w:name w:val="annotation text"/>
    <w:basedOn w:val="Normal"/>
    <w:link w:val="CommentTextChar"/>
    <w:uiPriority w:val="99"/>
    <w:semiHidden/>
    <w:unhideWhenUsed/>
    <w:rsid w:val="004536E0"/>
    <w:pPr>
      <w:spacing w:line="240" w:lineRule="auto"/>
    </w:pPr>
    <w:rPr>
      <w:sz w:val="20"/>
      <w:szCs w:val="20"/>
    </w:rPr>
  </w:style>
  <w:style w:type="character" w:customStyle="1" w:styleId="CommentTextChar">
    <w:name w:val="Comment Text Char"/>
    <w:basedOn w:val="DefaultParagraphFont"/>
    <w:link w:val="CommentText"/>
    <w:uiPriority w:val="99"/>
    <w:semiHidden/>
    <w:rsid w:val="004536E0"/>
    <w:rPr>
      <w:sz w:val="20"/>
      <w:szCs w:val="20"/>
    </w:rPr>
  </w:style>
  <w:style w:type="paragraph" w:styleId="CommentSubject">
    <w:name w:val="annotation subject"/>
    <w:basedOn w:val="CommentText"/>
    <w:next w:val="CommentText"/>
    <w:link w:val="CommentSubjectChar"/>
    <w:uiPriority w:val="99"/>
    <w:semiHidden/>
    <w:unhideWhenUsed/>
    <w:rsid w:val="004536E0"/>
    <w:rPr>
      <w:b/>
      <w:bCs/>
    </w:rPr>
  </w:style>
  <w:style w:type="character" w:customStyle="1" w:styleId="CommentSubjectChar">
    <w:name w:val="Comment Subject Char"/>
    <w:basedOn w:val="CommentTextChar"/>
    <w:link w:val="CommentSubject"/>
    <w:uiPriority w:val="99"/>
    <w:semiHidden/>
    <w:rsid w:val="004536E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6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C7F"/>
    <w:rPr>
      <w:rFonts w:ascii="Tahoma" w:hAnsi="Tahoma" w:cs="Tahoma"/>
      <w:sz w:val="16"/>
      <w:szCs w:val="16"/>
    </w:rPr>
  </w:style>
  <w:style w:type="paragraph" w:styleId="Header">
    <w:name w:val="header"/>
    <w:basedOn w:val="Normal"/>
    <w:link w:val="HeaderChar"/>
    <w:uiPriority w:val="99"/>
    <w:unhideWhenUsed/>
    <w:rsid w:val="00222C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C8D"/>
  </w:style>
  <w:style w:type="paragraph" w:styleId="Footer">
    <w:name w:val="footer"/>
    <w:aliases w:val="Footer1"/>
    <w:basedOn w:val="Normal"/>
    <w:link w:val="FooterChar"/>
    <w:unhideWhenUsed/>
    <w:rsid w:val="00222C8D"/>
    <w:pPr>
      <w:tabs>
        <w:tab w:val="center" w:pos="4513"/>
        <w:tab w:val="right" w:pos="9026"/>
      </w:tabs>
      <w:spacing w:after="0" w:line="240" w:lineRule="auto"/>
    </w:pPr>
  </w:style>
  <w:style w:type="character" w:customStyle="1" w:styleId="FooterChar">
    <w:name w:val="Footer Char"/>
    <w:aliases w:val="Footer1 Char"/>
    <w:basedOn w:val="DefaultParagraphFont"/>
    <w:link w:val="Footer"/>
    <w:rsid w:val="00222C8D"/>
  </w:style>
  <w:style w:type="paragraph" w:styleId="ListParagraph">
    <w:name w:val="List Paragraph"/>
    <w:basedOn w:val="Normal"/>
    <w:uiPriority w:val="34"/>
    <w:qFormat/>
    <w:rsid w:val="006618DB"/>
    <w:pPr>
      <w:ind w:left="720"/>
      <w:contextualSpacing/>
    </w:pPr>
  </w:style>
  <w:style w:type="character" w:styleId="PageNumber">
    <w:name w:val="page number"/>
    <w:rsid w:val="00A454CA"/>
    <w:rPr>
      <w:rFonts w:ascii="Arial" w:hAnsi="Arial"/>
      <w:sz w:val="18"/>
    </w:rPr>
  </w:style>
  <w:style w:type="paragraph" w:styleId="FootnoteText">
    <w:name w:val="footnote text"/>
    <w:basedOn w:val="Normal"/>
    <w:link w:val="FootnoteTextChar"/>
    <w:uiPriority w:val="99"/>
    <w:unhideWhenUsed/>
    <w:rsid w:val="00B61B2E"/>
    <w:pPr>
      <w:spacing w:after="0" w:line="240" w:lineRule="auto"/>
    </w:pPr>
    <w:rPr>
      <w:sz w:val="24"/>
      <w:szCs w:val="24"/>
    </w:rPr>
  </w:style>
  <w:style w:type="character" w:customStyle="1" w:styleId="FootnoteTextChar">
    <w:name w:val="Footnote Text Char"/>
    <w:basedOn w:val="DefaultParagraphFont"/>
    <w:link w:val="FootnoteText"/>
    <w:uiPriority w:val="99"/>
    <w:rsid w:val="00B61B2E"/>
    <w:rPr>
      <w:sz w:val="24"/>
      <w:szCs w:val="24"/>
    </w:rPr>
  </w:style>
  <w:style w:type="character" w:styleId="FootnoteReference">
    <w:name w:val="footnote reference"/>
    <w:basedOn w:val="DefaultParagraphFont"/>
    <w:uiPriority w:val="99"/>
    <w:unhideWhenUsed/>
    <w:rsid w:val="00B61B2E"/>
    <w:rPr>
      <w:vertAlign w:val="superscript"/>
    </w:rPr>
  </w:style>
  <w:style w:type="character" w:styleId="CommentReference">
    <w:name w:val="annotation reference"/>
    <w:basedOn w:val="DefaultParagraphFont"/>
    <w:uiPriority w:val="99"/>
    <w:semiHidden/>
    <w:unhideWhenUsed/>
    <w:rsid w:val="004536E0"/>
    <w:rPr>
      <w:sz w:val="16"/>
      <w:szCs w:val="16"/>
    </w:rPr>
  </w:style>
  <w:style w:type="paragraph" w:styleId="CommentText">
    <w:name w:val="annotation text"/>
    <w:basedOn w:val="Normal"/>
    <w:link w:val="CommentTextChar"/>
    <w:uiPriority w:val="99"/>
    <w:semiHidden/>
    <w:unhideWhenUsed/>
    <w:rsid w:val="004536E0"/>
    <w:pPr>
      <w:spacing w:line="240" w:lineRule="auto"/>
    </w:pPr>
    <w:rPr>
      <w:sz w:val="20"/>
      <w:szCs w:val="20"/>
    </w:rPr>
  </w:style>
  <w:style w:type="character" w:customStyle="1" w:styleId="CommentTextChar">
    <w:name w:val="Comment Text Char"/>
    <w:basedOn w:val="DefaultParagraphFont"/>
    <w:link w:val="CommentText"/>
    <w:uiPriority w:val="99"/>
    <w:semiHidden/>
    <w:rsid w:val="004536E0"/>
    <w:rPr>
      <w:sz w:val="20"/>
      <w:szCs w:val="20"/>
    </w:rPr>
  </w:style>
  <w:style w:type="paragraph" w:styleId="CommentSubject">
    <w:name w:val="annotation subject"/>
    <w:basedOn w:val="CommentText"/>
    <w:next w:val="CommentText"/>
    <w:link w:val="CommentSubjectChar"/>
    <w:uiPriority w:val="99"/>
    <w:semiHidden/>
    <w:unhideWhenUsed/>
    <w:rsid w:val="004536E0"/>
    <w:rPr>
      <w:b/>
      <w:bCs/>
    </w:rPr>
  </w:style>
  <w:style w:type="character" w:customStyle="1" w:styleId="CommentSubjectChar">
    <w:name w:val="Comment Subject Char"/>
    <w:basedOn w:val="CommentTextChar"/>
    <w:link w:val="CommentSubject"/>
    <w:uiPriority w:val="99"/>
    <w:semiHidden/>
    <w:rsid w:val="004536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11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AAC26-237D-4DCE-8CE6-402D828F6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2312</Words>
  <Characters>13183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Creedon</dc:creator>
  <cp:lastModifiedBy>Paula Creedon</cp:lastModifiedBy>
  <cp:revision>3</cp:revision>
  <cp:lastPrinted>2015-09-25T11:51:00Z</cp:lastPrinted>
  <dcterms:created xsi:type="dcterms:W3CDTF">2015-10-06T13:34:00Z</dcterms:created>
  <dcterms:modified xsi:type="dcterms:W3CDTF">2015-12-15T11:47:00Z</dcterms:modified>
</cp:coreProperties>
</file>