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35" w:rsidRDefault="00D06035" w:rsidP="00D06035">
      <w:r>
        <w:rPr>
          <w:noProof/>
          <w:lang w:eastAsia="en-GB"/>
        </w:rPr>
        <w:drawing>
          <wp:inline distT="0" distB="0" distL="0" distR="0" wp14:anchorId="712BB8F2" wp14:editId="35631885">
            <wp:extent cx="2227174" cy="12382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AWAR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8588" cy="1239036"/>
                    </a:xfrm>
                    <a:prstGeom prst="rect">
                      <a:avLst/>
                    </a:prstGeom>
                  </pic:spPr>
                </pic:pic>
              </a:graphicData>
            </a:graphic>
          </wp:inline>
        </w:drawing>
      </w:r>
    </w:p>
    <w:p w:rsidR="00004764" w:rsidRDefault="00D06035" w:rsidP="00FA43B5">
      <w:pPr>
        <w:rPr>
          <w:rFonts w:ascii="Arial" w:hAnsi="Arial" w:cs="Arial"/>
          <w:sz w:val="32"/>
          <w:szCs w:val="32"/>
        </w:rPr>
      </w:pPr>
      <w:r w:rsidRPr="002E3275">
        <w:rPr>
          <w:rFonts w:ascii="Arial" w:hAnsi="Arial" w:cs="Arial"/>
          <w:sz w:val="32"/>
          <w:szCs w:val="32"/>
        </w:rPr>
        <w:t>BE</w:t>
      </w:r>
      <w:r w:rsidR="006A0DDE">
        <w:rPr>
          <w:rFonts w:ascii="Arial" w:hAnsi="Arial" w:cs="Arial"/>
          <w:sz w:val="32"/>
          <w:szCs w:val="32"/>
        </w:rPr>
        <w:t>-AWARE II</w:t>
      </w:r>
      <w:r>
        <w:rPr>
          <w:rFonts w:ascii="Arial" w:hAnsi="Arial" w:cs="Arial"/>
          <w:sz w:val="32"/>
          <w:szCs w:val="32"/>
        </w:rPr>
        <w:t xml:space="preserve"> </w:t>
      </w:r>
      <w:r w:rsidRPr="002E3275">
        <w:rPr>
          <w:rFonts w:ascii="Arial" w:hAnsi="Arial" w:cs="Arial"/>
          <w:sz w:val="32"/>
          <w:szCs w:val="32"/>
        </w:rPr>
        <w:t>Communication Plan</w:t>
      </w:r>
    </w:p>
    <w:p w:rsidR="00004764" w:rsidRDefault="00004764" w:rsidP="00004764">
      <w:pPr>
        <w:tabs>
          <w:tab w:val="left" w:pos="567"/>
        </w:tabs>
        <w:spacing w:after="60" w:line="280" w:lineRule="atLeast"/>
        <w:jc w:val="both"/>
        <w:rPr>
          <w:rFonts w:ascii="Arial" w:hAnsi="Arial" w:cs="Arial"/>
          <w:sz w:val="20"/>
          <w:szCs w:val="20"/>
        </w:rPr>
      </w:pPr>
      <w:r w:rsidRPr="00004764">
        <w:rPr>
          <w:rFonts w:ascii="Arial" w:hAnsi="Arial" w:cs="Arial"/>
          <w:sz w:val="20"/>
          <w:szCs w:val="20"/>
        </w:rPr>
        <w:t xml:space="preserve">The overall aim of the Bonn Agreement: Area-wide Assessment of Risk Evaluations </w:t>
      </w:r>
      <w:r w:rsidR="006A0DDE">
        <w:rPr>
          <w:rFonts w:ascii="Arial" w:hAnsi="Arial" w:cs="Arial"/>
          <w:sz w:val="20"/>
          <w:szCs w:val="20"/>
        </w:rPr>
        <w:t>II</w:t>
      </w:r>
      <w:r w:rsidR="00424C04">
        <w:rPr>
          <w:rFonts w:ascii="Arial" w:hAnsi="Arial" w:cs="Arial"/>
          <w:sz w:val="20"/>
          <w:szCs w:val="20"/>
        </w:rPr>
        <w:t xml:space="preserve"> </w:t>
      </w:r>
      <w:r w:rsidRPr="00004764">
        <w:rPr>
          <w:rFonts w:ascii="Arial" w:hAnsi="Arial" w:cs="Arial"/>
          <w:sz w:val="20"/>
          <w:szCs w:val="20"/>
        </w:rPr>
        <w:t>(BE-AWARE</w:t>
      </w:r>
      <w:r w:rsidR="006A0DDE">
        <w:rPr>
          <w:rFonts w:ascii="Arial" w:hAnsi="Arial" w:cs="Arial"/>
          <w:sz w:val="20"/>
          <w:szCs w:val="20"/>
        </w:rPr>
        <w:t xml:space="preserve"> II</w:t>
      </w:r>
      <w:r w:rsidR="00424C04" w:rsidRPr="00004764">
        <w:rPr>
          <w:rFonts w:ascii="Arial" w:hAnsi="Arial" w:cs="Arial"/>
          <w:sz w:val="20"/>
          <w:szCs w:val="20"/>
        </w:rPr>
        <w:t>)</w:t>
      </w:r>
      <w:r w:rsidR="00424C04">
        <w:rPr>
          <w:rFonts w:ascii="Arial" w:hAnsi="Arial" w:cs="Arial"/>
          <w:sz w:val="20"/>
          <w:szCs w:val="20"/>
        </w:rPr>
        <w:t xml:space="preserve"> </w:t>
      </w:r>
      <w:r w:rsidR="00424C04" w:rsidRPr="00004764">
        <w:rPr>
          <w:rFonts w:ascii="Arial" w:hAnsi="Arial" w:cs="Arial"/>
          <w:sz w:val="20"/>
          <w:szCs w:val="20"/>
        </w:rPr>
        <w:t>is</w:t>
      </w:r>
      <w:r w:rsidRPr="00004764">
        <w:rPr>
          <w:rFonts w:ascii="Arial" w:hAnsi="Arial" w:cs="Arial"/>
          <w:sz w:val="20"/>
          <w:szCs w:val="20"/>
        </w:rPr>
        <w:t xml:space="preserve"> to ensure that Bonn Agreement Contracting Parties are aware of the most effective future risk reduction and response measures to the potential risk of mineral oil pollution in the Greater North and its Approaches as identified in the first BE-AWARE project. </w:t>
      </w:r>
    </w:p>
    <w:p w:rsidR="00424C04" w:rsidRDefault="00424C04" w:rsidP="00004764">
      <w:pPr>
        <w:tabs>
          <w:tab w:val="left" w:pos="567"/>
        </w:tabs>
        <w:spacing w:after="60" w:line="280" w:lineRule="atLeast"/>
        <w:jc w:val="both"/>
        <w:rPr>
          <w:rFonts w:ascii="Arial" w:hAnsi="Arial" w:cs="Arial"/>
          <w:sz w:val="20"/>
          <w:szCs w:val="20"/>
        </w:rPr>
      </w:pPr>
    </w:p>
    <w:p w:rsidR="00424C04" w:rsidRDefault="00424C04" w:rsidP="00424C04">
      <w:pPr>
        <w:tabs>
          <w:tab w:val="left" w:pos="567"/>
        </w:tabs>
        <w:spacing w:after="60" w:line="280" w:lineRule="atLeast"/>
        <w:jc w:val="both"/>
        <w:rPr>
          <w:rFonts w:ascii="Arial" w:hAnsi="Arial" w:cs="Arial"/>
          <w:sz w:val="20"/>
          <w:szCs w:val="20"/>
        </w:rPr>
      </w:pPr>
      <w:r>
        <w:rPr>
          <w:rFonts w:ascii="Arial" w:hAnsi="Arial" w:cs="Arial"/>
          <w:sz w:val="20"/>
          <w:szCs w:val="20"/>
        </w:rPr>
        <w:t>P</w:t>
      </w:r>
      <w:r w:rsidRPr="00C37AA8">
        <w:rPr>
          <w:rFonts w:ascii="Arial" w:hAnsi="Arial" w:cs="Arial"/>
          <w:sz w:val="20"/>
          <w:szCs w:val="20"/>
        </w:rPr>
        <w:t>redicted increased storminess as a consequence of climate change, increased export of oil products from the Russian Federation transiting through the</w:t>
      </w:r>
      <w:r>
        <w:rPr>
          <w:rFonts w:ascii="Arial" w:hAnsi="Arial" w:cs="Arial"/>
          <w:sz w:val="20"/>
          <w:szCs w:val="20"/>
        </w:rPr>
        <w:t xml:space="preserve"> Greater North Sea</w:t>
      </w:r>
      <w:r w:rsidRPr="00C37AA8">
        <w:rPr>
          <w:rFonts w:ascii="Arial" w:hAnsi="Arial" w:cs="Arial"/>
          <w:sz w:val="20"/>
          <w:szCs w:val="20"/>
        </w:rPr>
        <w:t>, and new maritime uses and activities (energy generation</w:t>
      </w:r>
      <w:r w:rsidR="00BF1D7D">
        <w:rPr>
          <w:rFonts w:ascii="Arial" w:hAnsi="Arial" w:cs="Arial"/>
          <w:sz w:val="20"/>
          <w:szCs w:val="20"/>
        </w:rPr>
        <w:t xml:space="preserve"> </w:t>
      </w:r>
      <w:r w:rsidRPr="00C37AA8">
        <w:rPr>
          <w:rFonts w:ascii="Arial" w:hAnsi="Arial" w:cs="Arial"/>
          <w:sz w:val="20"/>
          <w:szCs w:val="20"/>
        </w:rPr>
        <w:t xml:space="preserve">and marine protected </w:t>
      </w:r>
      <w:r>
        <w:rPr>
          <w:rFonts w:ascii="Arial" w:hAnsi="Arial" w:cs="Arial"/>
          <w:sz w:val="20"/>
          <w:szCs w:val="20"/>
        </w:rPr>
        <w:t>areas) collectively contribute</w:t>
      </w:r>
      <w:r w:rsidRPr="00C37AA8">
        <w:rPr>
          <w:rFonts w:ascii="Arial" w:hAnsi="Arial" w:cs="Arial"/>
          <w:sz w:val="20"/>
          <w:szCs w:val="20"/>
        </w:rPr>
        <w:t xml:space="preserve"> to a complex pattern of sea use and maritime development</w:t>
      </w:r>
      <w:r>
        <w:rPr>
          <w:rFonts w:ascii="Arial" w:hAnsi="Arial" w:cs="Arial"/>
          <w:sz w:val="20"/>
          <w:szCs w:val="20"/>
        </w:rPr>
        <w:t xml:space="preserve">. </w:t>
      </w:r>
      <w:r w:rsidR="00FD633F">
        <w:rPr>
          <w:rFonts w:ascii="Arial" w:hAnsi="Arial" w:cs="Arial"/>
          <w:sz w:val="20"/>
          <w:szCs w:val="20"/>
        </w:rPr>
        <w:t>This activity necessitates</w:t>
      </w:r>
      <w:r w:rsidRPr="00C37AA8">
        <w:rPr>
          <w:rFonts w:ascii="Arial" w:hAnsi="Arial" w:cs="Arial"/>
          <w:sz w:val="20"/>
          <w:szCs w:val="20"/>
        </w:rPr>
        <w:t xml:space="preserve"> an overview risk assessment to</w:t>
      </w:r>
      <w:r>
        <w:rPr>
          <w:rFonts w:ascii="Arial" w:hAnsi="Arial" w:cs="Arial"/>
          <w:sz w:val="20"/>
          <w:szCs w:val="20"/>
        </w:rPr>
        <w:t xml:space="preserve"> highlight </w:t>
      </w:r>
      <w:r w:rsidRPr="00C37AA8">
        <w:rPr>
          <w:rFonts w:ascii="Arial" w:hAnsi="Arial" w:cs="Arial"/>
          <w:sz w:val="20"/>
          <w:szCs w:val="20"/>
        </w:rPr>
        <w:t>potential improvements t</w:t>
      </w:r>
      <w:r>
        <w:rPr>
          <w:rFonts w:ascii="Arial" w:hAnsi="Arial" w:cs="Arial"/>
          <w:sz w:val="20"/>
          <w:szCs w:val="20"/>
        </w:rPr>
        <w:t xml:space="preserve">o disaster prevention and </w:t>
      </w:r>
      <w:r w:rsidRPr="00C37AA8">
        <w:rPr>
          <w:rFonts w:ascii="Arial" w:hAnsi="Arial" w:cs="Arial"/>
          <w:sz w:val="20"/>
          <w:szCs w:val="20"/>
        </w:rPr>
        <w:t xml:space="preserve">ensure that an adequate balance of resources is maintained for response work </w:t>
      </w:r>
      <w:r>
        <w:rPr>
          <w:rFonts w:ascii="Arial" w:hAnsi="Arial" w:cs="Arial"/>
          <w:sz w:val="20"/>
          <w:szCs w:val="20"/>
        </w:rPr>
        <w:t>is vital.</w:t>
      </w:r>
    </w:p>
    <w:p w:rsidR="00424C04" w:rsidRDefault="00424C04" w:rsidP="00424C04">
      <w:pPr>
        <w:tabs>
          <w:tab w:val="left" w:pos="567"/>
        </w:tabs>
        <w:spacing w:after="60" w:line="280" w:lineRule="atLeast"/>
        <w:jc w:val="both"/>
        <w:rPr>
          <w:rFonts w:ascii="Arial" w:hAnsi="Arial" w:cs="Arial"/>
          <w:sz w:val="20"/>
          <w:szCs w:val="20"/>
        </w:rPr>
      </w:pPr>
    </w:p>
    <w:p w:rsidR="00D06035" w:rsidRDefault="006A0DDE" w:rsidP="00F43A50">
      <w:pPr>
        <w:tabs>
          <w:tab w:val="left" w:pos="567"/>
        </w:tabs>
        <w:spacing w:after="60" w:line="280" w:lineRule="atLeast"/>
        <w:jc w:val="both"/>
        <w:rPr>
          <w:rFonts w:ascii="Arial" w:hAnsi="Arial" w:cs="Arial"/>
          <w:sz w:val="20"/>
          <w:szCs w:val="20"/>
        </w:rPr>
      </w:pPr>
      <w:r>
        <w:rPr>
          <w:rFonts w:ascii="Arial" w:hAnsi="Arial" w:cs="Arial"/>
          <w:sz w:val="20"/>
          <w:szCs w:val="20"/>
        </w:rPr>
        <w:t xml:space="preserve">BE-AWARE </w:t>
      </w:r>
      <w:bookmarkStart w:id="0" w:name="_GoBack"/>
      <w:bookmarkEnd w:id="0"/>
      <w:r>
        <w:rPr>
          <w:rFonts w:ascii="Arial" w:hAnsi="Arial" w:cs="Arial"/>
          <w:sz w:val="20"/>
          <w:szCs w:val="20"/>
        </w:rPr>
        <w:t>II</w:t>
      </w:r>
      <w:r w:rsidR="00424C04">
        <w:rPr>
          <w:rFonts w:ascii="Arial" w:hAnsi="Arial" w:cs="Arial"/>
          <w:sz w:val="20"/>
          <w:szCs w:val="20"/>
        </w:rPr>
        <w:t xml:space="preserve"> is part funded </w:t>
      </w:r>
      <w:r w:rsidR="00424C04" w:rsidRPr="00BF1D7D">
        <w:rPr>
          <w:rFonts w:ascii="Arial" w:hAnsi="Arial" w:cs="Arial"/>
          <w:sz w:val="20"/>
          <w:szCs w:val="20"/>
        </w:rPr>
        <w:t>by the European Union through the Civil Protection Financial Instrument, administered by DG ECHO,</w:t>
      </w:r>
      <w:r w:rsidR="00424C04">
        <w:rPr>
          <w:rFonts w:ascii="Arial" w:hAnsi="Arial" w:cs="Arial"/>
          <w:sz w:val="20"/>
          <w:szCs w:val="20"/>
        </w:rPr>
        <w:t xml:space="preserve"> and will be coordinated within the framework of the Bonn Agreement. </w:t>
      </w:r>
      <w:r w:rsidR="00424C04" w:rsidRPr="003D343A">
        <w:rPr>
          <w:rFonts w:ascii="Arial" w:hAnsi="Arial" w:cs="Arial"/>
          <w:sz w:val="20"/>
          <w:szCs w:val="20"/>
        </w:rPr>
        <w:t xml:space="preserve">The Bonn Agreement is the mechanism by which the </w:t>
      </w:r>
      <w:smartTag w:uri="urn:schemas-microsoft-com:office:smarttags" w:element="place">
        <w:smartTag w:uri="urn:schemas-microsoft-com:office:smarttags" w:element="PlaceName">
          <w:r w:rsidR="00424C04" w:rsidRPr="003D343A">
            <w:rPr>
              <w:rFonts w:ascii="Arial" w:hAnsi="Arial" w:cs="Arial"/>
              <w:sz w:val="20"/>
              <w:szCs w:val="20"/>
            </w:rPr>
            <w:t>North Sea</w:t>
          </w:r>
        </w:smartTag>
        <w:r w:rsidR="00424C04" w:rsidRPr="003D343A">
          <w:rPr>
            <w:rFonts w:ascii="Arial" w:hAnsi="Arial" w:cs="Arial"/>
            <w:sz w:val="20"/>
            <w:szCs w:val="20"/>
          </w:rPr>
          <w:t xml:space="preserve"> </w:t>
        </w:r>
        <w:smartTag w:uri="urn:schemas-microsoft-com:office:smarttags" w:element="PlaceType">
          <w:r w:rsidR="00424C04" w:rsidRPr="003D343A">
            <w:rPr>
              <w:rFonts w:ascii="Arial" w:hAnsi="Arial" w:cs="Arial"/>
              <w:sz w:val="20"/>
              <w:szCs w:val="20"/>
            </w:rPr>
            <w:t>States</w:t>
          </w:r>
        </w:smartTag>
      </w:smartTag>
      <w:r w:rsidR="00424C04" w:rsidRPr="003D343A">
        <w:rPr>
          <w:rFonts w:ascii="Arial" w:hAnsi="Arial" w:cs="Arial"/>
          <w:sz w:val="20"/>
          <w:szCs w:val="20"/>
        </w:rPr>
        <w:t xml:space="preserve">, and the European </w:t>
      </w:r>
      <w:r w:rsidR="00424C04">
        <w:rPr>
          <w:rFonts w:ascii="Arial" w:hAnsi="Arial" w:cs="Arial"/>
          <w:sz w:val="20"/>
          <w:szCs w:val="20"/>
        </w:rPr>
        <w:t xml:space="preserve">Union, work together </w:t>
      </w:r>
      <w:r w:rsidR="00424C04" w:rsidRPr="003D343A">
        <w:rPr>
          <w:rFonts w:ascii="Arial" w:hAnsi="Arial" w:cs="Arial"/>
          <w:sz w:val="20"/>
          <w:szCs w:val="20"/>
        </w:rPr>
        <w:t>to help each other in combating pollution in the North Sea Area from maritime disasters and chronic pollution from s</w:t>
      </w:r>
      <w:r w:rsidR="00424C04">
        <w:rPr>
          <w:rFonts w:ascii="Arial" w:hAnsi="Arial" w:cs="Arial"/>
          <w:sz w:val="20"/>
          <w:szCs w:val="20"/>
        </w:rPr>
        <w:t xml:space="preserve">hips and offshore installations and </w:t>
      </w:r>
      <w:r w:rsidR="00424C04" w:rsidRPr="003D343A">
        <w:rPr>
          <w:rFonts w:ascii="Arial" w:hAnsi="Arial" w:cs="Arial"/>
          <w:sz w:val="20"/>
          <w:szCs w:val="20"/>
        </w:rPr>
        <w:t>carry out surveillance as an aid to detecting a</w:t>
      </w:r>
      <w:r w:rsidR="00424C04">
        <w:rPr>
          <w:rFonts w:ascii="Arial" w:hAnsi="Arial" w:cs="Arial"/>
          <w:sz w:val="20"/>
          <w:szCs w:val="20"/>
        </w:rPr>
        <w:t xml:space="preserve">nd combating pollution at sea. </w:t>
      </w:r>
      <w:r w:rsidR="00424C04" w:rsidRPr="003D343A">
        <w:rPr>
          <w:rFonts w:ascii="Arial" w:hAnsi="Arial" w:cs="Arial"/>
          <w:sz w:val="20"/>
          <w:szCs w:val="20"/>
        </w:rPr>
        <w:t>The North Sea States are Belgium, Denmark, France, Germany, Ireland, the Netherlands, Norway, Sweden, and the United Kingdom of Grea</w:t>
      </w:r>
      <w:r w:rsidR="00424C04">
        <w:rPr>
          <w:rFonts w:ascii="Arial" w:hAnsi="Arial" w:cs="Arial"/>
          <w:sz w:val="20"/>
          <w:szCs w:val="20"/>
        </w:rPr>
        <w:t>t Britain and Northern Ireland.</w:t>
      </w:r>
    </w:p>
    <w:p w:rsidR="00F43A50" w:rsidRPr="00F43A50" w:rsidRDefault="00F43A50" w:rsidP="00F43A50">
      <w:pPr>
        <w:tabs>
          <w:tab w:val="left" w:pos="567"/>
        </w:tabs>
        <w:spacing w:after="60" w:line="280" w:lineRule="atLeast"/>
        <w:jc w:val="both"/>
        <w:rPr>
          <w:rFonts w:ascii="Arial" w:hAnsi="Arial" w:cs="Arial"/>
          <w:sz w:val="20"/>
          <w:szCs w:val="20"/>
        </w:rPr>
      </w:pPr>
    </w:p>
    <w:p w:rsidR="00D06035" w:rsidRDefault="00D06035" w:rsidP="00D06035">
      <w:pPr>
        <w:jc w:val="both"/>
        <w:rPr>
          <w:rFonts w:ascii="Arial" w:hAnsi="Arial" w:cs="Arial"/>
          <w:b/>
          <w:sz w:val="24"/>
          <w:szCs w:val="24"/>
        </w:rPr>
      </w:pPr>
      <w:r w:rsidRPr="00C37AA8">
        <w:rPr>
          <w:rFonts w:ascii="Arial" w:hAnsi="Arial" w:cs="Arial"/>
          <w:b/>
          <w:sz w:val="24"/>
          <w:szCs w:val="24"/>
        </w:rPr>
        <w:t xml:space="preserve">2. </w:t>
      </w:r>
      <w:r>
        <w:rPr>
          <w:rFonts w:ascii="Arial" w:hAnsi="Arial" w:cs="Arial"/>
          <w:b/>
          <w:sz w:val="24"/>
          <w:szCs w:val="24"/>
        </w:rPr>
        <w:t>Communication Plan Aims</w:t>
      </w:r>
    </w:p>
    <w:p w:rsidR="00D06035" w:rsidRDefault="00D06035" w:rsidP="00D06035">
      <w:pPr>
        <w:jc w:val="both"/>
        <w:rPr>
          <w:rFonts w:ascii="Arial" w:hAnsi="Arial" w:cs="Arial"/>
          <w:sz w:val="20"/>
          <w:szCs w:val="20"/>
        </w:rPr>
      </w:pPr>
      <w:r>
        <w:rPr>
          <w:rFonts w:ascii="Arial" w:hAnsi="Arial" w:cs="Arial"/>
          <w:sz w:val="20"/>
          <w:szCs w:val="20"/>
        </w:rPr>
        <w:t>In order to ensure that BE-AWARE</w:t>
      </w:r>
      <w:r w:rsidR="00FD633F">
        <w:rPr>
          <w:rFonts w:ascii="Arial" w:hAnsi="Arial" w:cs="Arial"/>
          <w:sz w:val="20"/>
          <w:szCs w:val="20"/>
        </w:rPr>
        <w:t xml:space="preserve"> 2</w:t>
      </w:r>
      <w:r>
        <w:rPr>
          <w:rFonts w:ascii="Arial" w:hAnsi="Arial" w:cs="Arial"/>
          <w:sz w:val="20"/>
          <w:szCs w:val="20"/>
        </w:rPr>
        <w:t xml:space="preserve"> Project is as successful as possible and provides the maximum return on investment for the Coordinating and Associated Beneficiaries, the EU (DG ECHO), Bonn Agreement Contracting Parties and the wider public, several communication aims have been established:</w:t>
      </w:r>
    </w:p>
    <w:p w:rsidR="00D06035" w:rsidRDefault="00D06035" w:rsidP="00D06035">
      <w:pPr>
        <w:pStyle w:val="ListParagraph"/>
        <w:numPr>
          <w:ilvl w:val="0"/>
          <w:numId w:val="1"/>
        </w:numPr>
        <w:jc w:val="both"/>
        <w:rPr>
          <w:rFonts w:ascii="Arial" w:hAnsi="Arial" w:cs="Arial"/>
          <w:sz w:val="20"/>
          <w:szCs w:val="20"/>
        </w:rPr>
      </w:pPr>
      <w:r>
        <w:rPr>
          <w:rFonts w:ascii="Arial" w:hAnsi="Arial" w:cs="Arial"/>
          <w:sz w:val="20"/>
          <w:szCs w:val="20"/>
        </w:rPr>
        <w:t>To ensure effective and ongoing internal communication within the project contributing towards good management and early identification of potential difficulties in implementation;</w:t>
      </w:r>
    </w:p>
    <w:p w:rsidR="00D06035" w:rsidRDefault="00D06035" w:rsidP="00D06035">
      <w:pPr>
        <w:pStyle w:val="ListParagraph"/>
        <w:numPr>
          <w:ilvl w:val="0"/>
          <w:numId w:val="1"/>
        </w:numPr>
        <w:jc w:val="both"/>
        <w:rPr>
          <w:rFonts w:ascii="Arial" w:hAnsi="Arial" w:cs="Arial"/>
          <w:sz w:val="20"/>
          <w:szCs w:val="20"/>
        </w:rPr>
      </w:pPr>
      <w:r>
        <w:rPr>
          <w:rFonts w:ascii="Arial" w:hAnsi="Arial" w:cs="Arial"/>
          <w:sz w:val="20"/>
          <w:szCs w:val="20"/>
        </w:rPr>
        <w:t>To keep Bonn Agreement Contracting Parties informed of project progress and outputs;</w:t>
      </w:r>
    </w:p>
    <w:p w:rsidR="00D06035" w:rsidRDefault="00D06035" w:rsidP="00D06035">
      <w:pPr>
        <w:pStyle w:val="ListParagraph"/>
        <w:numPr>
          <w:ilvl w:val="0"/>
          <w:numId w:val="1"/>
        </w:numPr>
        <w:jc w:val="both"/>
        <w:rPr>
          <w:rFonts w:ascii="Arial" w:hAnsi="Arial" w:cs="Arial"/>
          <w:sz w:val="20"/>
          <w:szCs w:val="20"/>
        </w:rPr>
      </w:pPr>
      <w:r>
        <w:rPr>
          <w:rFonts w:ascii="Arial" w:hAnsi="Arial" w:cs="Arial"/>
          <w:sz w:val="20"/>
          <w:szCs w:val="20"/>
        </w:rPr>
        <w:t>To ensure coherent and well-planned external communication of project results to the wider Civil Protection and Environment Community and to the general public;</w:t>
      </w:r>
    </w:p>
    <w:p w:rsidR="00D06035" w:rsidRDefault="00D06035" w:rsidP="00D06035">
      <w:pPr>
        <w:pStyle w:val="ListParagraph"/>
        <w:numPr>
          <w:ilvl w:val="0"/>
          <w:numId w:val="1"/>
        </w:numPr>
        <w:jc w:val="both"/>
        <w:rPr>
          <w:rFonts w:ascii="Arial" w:hAnsi="Arial" w:cs="Arial"/>
          <w:sz w:val="20"/>
          <w:szCs w:val="20"/>
        </w:rPr>
      </w:pPr>
      <w:r>
        <w:rPr>
          <w:rFonts w:ascii="Arial" w:hAnsi="Arial" w:cs="Arial"/>
          <w:sz w:val="20"/>
          <w:szCs w:val="20"/>
        </w:rPr>
        <w:t>To increase the visibility of the objectives and contribution of the Civil Protection Financial Instrument;</w:t>
      </w:r>
    </w:p>
    <w:p w:rsidR="00F43A50" w:rsidRPr="00F43A50" w:rsidRDefault="00F43A50" w:rsidP="00F43A50">
      <w:pPr>
        <w:pStyle w:val="ListParagraph"/>
        <w:jc w:val="both"/>
        <w:rPr>
          <w:rFonts w:ascii="Arial" w:hAnsi="Arial" w:cs="Arial"/>
          <w:sz w:val="20"/>
          <w:szCs w:val="20"/>
        </w:rPr>
      </w:pPr>
    </w:p>
    <w:p w:rsidR="00D06035" w:rsidRDefault="00FA43B5" w:rsidP="00D06035">
      <w:pPr>
        <w:rPr>
          <w:rFonts w:ascii="Arial" w:hAnsi="Arial" w:cs="Arial"/>
          <w:b/>
          <w:sz w:val="24"/>
          <w:szCs w:val="24"/>
        </w:rPr>
      </w:pPr>
      <w:r>
        <w:rPr>
          <w:rFonts w:ascii="Arial" w:hAnsi="Arial" w:cs="Arial"/>
          <w:b/>
          <w:sz w:val="24"/>
          <w:szCs w:val="24"/>
        </w:rPr>
        <w:t>3. Main Messag</w:t>
      </w:r>
      <w:r w:rsidR="00D06035">
        <w:rPr>
          <w:rFonts w:ascii="Arial" w:hAnsi="Arial" w:cs="Arial"/>
          <w:b/>
          <w:sz w:val="24"/>
          <w:szCs w:val="24"/>
        </w:rPr>
        <w:t>es</w:t>
      </w:r>
    </w:p>
    <w:p w:rsidR="00D06035" w:rsidRDefault="00D06035" w:rsidP="00D06035">
      <w:pPr>
        <w:rPr>
          <w:rFonts w:ascii="Arial" w:hAnsi="Arial" w:cs="Arial"/>
          <w:sz w:val="20"/>
          <w:szCs w:val="20"/>
        </w:rPr>
      </w:pPr>
      <w:r>
        <w:rPr>
          <w:rFonts w:ascii="Arial" w:hAnsi="Arial" w:cs="Arial"/>
          <w:sz w:val="20"/>
          <w:szCs w:val="20"/>
        </w:rPr>
        <w:t>The main messages that the BE-AWARE</w:t>
      </w:r>
      <w:r w:rsidR="00FD633F">
        <w:rPr>
          <w:rFonts w:ascii="Arial" w:hAnsi="Arial" w:cs="Arial"/>
          <w:sz w:val="20"/>
          <w:szCs w:val="20"/>
        </w:rPr>
        <w:t xml:space="preserve"> 2</w:t>
      </w:r>
      <w:r>
        <w:rPr>
          <w:rFonts w:ascii="Arial" w:hAnsi="Arial" w:cs="Arial"/>
          <w:sz w:val="20"/>
          <w:szCs w:val="20"/>
        </w:rPr>
        <w:t xml:space="preserve"> project needs to communicate to its stakeholders are:</w:t>
      </w:r>
    </w:p>
    <w:p w:rsidR="00F43A50" w:rsidRDefault="00F43A50" w:rsidP="00F43A50">
      <w:pPr>
        <w:pStyle w:val="ListParagraph"/>
        <w:numPr>
          <w:ilvl w:val="0"/>
          <w:numId w:val="6"/>
        </w:numPr>
        <w:rPr>
          <w:rFonts w:ascii="Arial" w:hAnsi="Arial" w:cs="Arial"/>
          <w:sz w:val="20"/>
          <w:szCs w:val="20"/>
        </w:rPr>
      </w:pPr>
      <w:r>
        <w:rPr>
          <w:rFonts w:ascii="Arial" w:hAnsi="Arial" w:cs="Arial"/>
          <w:sz w:val="20"/>
          <w:szCs w:val="20"/>
        </w:rPr>
        <w:lastRenderedPageBreak/>
        <w:t>BE-AWARE 2 is an attempt to understand the fate of oil spills from the Bonn Agreement area predicted in BE-AWARE</w:t>
      </w:r>
    </w:p>
    <w:p w:rsidR="00F43A50" w:rsidRDefault="00F43A50" w:rsidP="00F43A50">
      <w:pPr>
        <w:pStyle w:val="ListParagraph"/>
        <w:numPr>
          <w:ilvl w:val="0"/>
          <w:numId w:val="6"/>
        </w:numPr>
        <w:rPr>
          <w:rFonts w:ascii="Arial" w:hAnsi="Arial" w:cs="Arial"/>
          <w:sz w:val="20"/>
          <w:szCs w:val="20"/>
        </w:rPr>
      </w:pPr>
      <w:r>
        <w:rPr>
          <w:rFonts w:ascii="Arial" w:hAnsi="Arial" w:cs="Arial"/>
          <w:sz w:val="20"/>
          <w:szCs w:val="20"/>
        </w:rPr>
        <w:t>BE-AWARE 2 takes into consideration a range of future (2020) scenarios for risk reduction measures and response capacities</w:t>
      </w:r>
    </w:p>
    <w:p w:rsidR="00F43A50" w:rsidRDefault="00F43A50" w:rsidP="00F43A50">
      <w:pPr>
        <w:pStyle w:val="ListParagraph"/>
        <w:numPr>
          <w:ilvl w:val="0"/>
          <w:numId w:val="6"/>
        </w:numPr>
        <w:rPr>
          <w:rFonts w:ascii="Arial" w:hAnsi="Arial" w:cs="Arial"/>
          <w:sz w:val="20"/>
          <w:szCs w:val="20"/>
        </w:rPr>
      </w:pPr>
      <w:r>
        <w:rPr>
          <w:rFonts w:ascii="Arial" w:hAnsi="Arial" w:cs="Arial"/>
          <w:sz w:val="20"/>
          <w:szCs w:val="20"/>
        </w:rPr>
        <w:t xml:space="preserve">BE-AWARE 2 will </w:t>
      </w:r>
      <w:r w:rsidRPr="00F43A50">
        <w:rPr>
          <w:rFonts w:ascii="Arial" w:hAnsi="Arial" w:cs="Arial"/>
          <w:sz w:val="20"/>
          <w:szCs w:val="20"/>
        </w:rPr>
        <w:t xml:space="preserve"> model the fate and weathering of oil for the potential spills identified in BE-</w:t>
      </w:r>
      <w:r>
        <w:rPr>
          <w:rFonts w:ascii="Arial" w:hAnsi="Arial" w:cs="Arial"/>
          <w:sz w:val="20"/>
          <w:szCs w:val="20"/>
        </w:rPr>
        <w:t>AWARE for each of the scenarios</w:t>
      </w:r>
    </w:p>
    <w:p w:rsidR="00F43A50" w:rsidRDefault="00F43A50" w:rsidP="00F43A50">
      <w:pPr>
        <w:pStyle w:val="ListParagraph"/>
        <w:numPr>
          <w:ilvl w:val="0"/>
          <w:numId w:val="6"/>
        </w:numPr>
        <w:rPr>
          <w:rFonts w:ascii="Arial" w:hAnsi="Arial" w:cs="Arial"/>
          <w:sz w:val="20"/>
          <w:szCs w:val="20"/>
        </w:rPr>
      </w:pPr>
      <w:r>
        <w:rPr>
          <w:rFonts w:ascii="Arial" w:hAnsi="Arial" w:cs="Arial"/>
          <w:sz w:val="20"/>
          <w:szCs w:val="20"/>
        </w:rPr>
        <w:t xml:space="preserve">BE-AWARE 2 will </w:t>
      </w:r>
      <w:r w:rsidRPr="00F43A50">
        <w:rPr>
          <w:rFonts w:ascii="Arial" w:hAnsi="Arial" w:cs="Arial"/>
          <w:sz w:val="20"/>
          <w:szCs w:val="20"/>
        </w:rPr>
        <w:t xml:space="preserve">identify the socioeconomic and environmental vulnerability of the coastline and offshore areas using </w:t>
      </w:r>
      <w:r>
        <w:rPr>
          <w:rFonts w:ascii="Arial" w:hAnsi="Arial" w:cs="Arial"/>
          <w:sz w:val="20"/>
          <w:szCs w:val="20"/>
        </w:rPr>
        <w:t>the tools developed in BE-AWARE</w:t>
      </w:r>
    </w:p>
    <w:p w:rsidR="00F43A50" w:rsidRPr="00F43A50" w:rsidRDefault="00F43A50" w:rsidP="00F43A50">
      <w:pPr>
        <w:pStyle w:val="ListParagraph"/>
        <w:numPr>
          <w:ilvl w:val="0"/>
          <w:numId w:val="6"/>
        </w:numPr>
        <w:rPr>
          <w:rFonts w:ascii="Arial" w:hAnsi="Arial" w:cs="Arial"/>
          <w:sz w:val="20"/>
          <w:szCs w:val="20"/>
        </w:rPr>
      </w:pPr>
      <w:r>
        <w:rPr>
          <w:rFonts w:ascii="Arial" w:hAnsi="Arial" w:cs="Arial"/>
          <w:sz w:val="20"/>
          <w:szCs w:val="20"/>
        </w:rPr>
        <w:t xml:space="preserve">BE-AWARE 2 will </w:t>
      </w:r>
      <w:r w:rsidRPr="00F43A50">
        <w:rPr>
          <w:rFonts w:ascii="Arial" w:hAnsi="Arial" w:cs="Arial"/>
          <w:sz w:val="20"/>
          <w:szCs w:val="20"/>
        </w:rPr>
        <w:t>identify the impacts of oil in the environment, taking into consideration the vulnerability of the coastline and offshore areas, for each of the selected scenarios;</w:t>
      </w:r>
    </w:p>
    <w:p w:rsidR="00F43A50" w:rsidRPr="00F43A50" w:rsidRDefault="00F43A50" w:rsidP="00F43A50">
      <w:pPr>
        <w:pStyle w:val="ListParagraph"/>
        <w:numPr>
          <w:ilvl w:val="0"/>
          <w:numId w:val="6"/>
        </w:numPr>
        <w:rPr>
          <w:rFonts w:ascii="Arial" w:hAnsi="Arial" w:cs="Arial"/>
          <w:sz w:val="20"/>
          <w:szCs w:val="20"/>
        </w:rPr>
      </w:pPr>
      <w:r>
        <w:rPr>
          <w:rFonts w:ascii="Arial" w:hAnsi="Arial" w:cs="Arial"/>
          <w:sz w:val="20"/>
          <w:szCs w:val="20"/>
        </w:rPr>
        <w:t>BE-AWARE 2 will</w:t>
      </w:r>
      <w:r w:rsidRPr="00F43A50">
        <w:rPr>
          <w:rFonts w:ascii="Arial" w:hAnsi="Arial" w:cs="Arial"/>
          <w:sz w:val="20"/>
          <w:szCs w:val="20"/>
        </w:rPr>
        <w:t xml:space="preserve"> develop risk management conclusions for Bonn Agreement sub-regions based on the most efficient and cost effective scenarios identified. </w:t>
      </w:r>
    </w:p>
    <w:p w:rsidR="00F43A50" w:rsidRPr="00FD633F" w:rsidRDefault="00F43A50" w:rsidP="00F43A50">
      <w:pPr>
        <w:pStyle w:val="ListParagraph"/>
        <w:numPr>
          <w:ilvl w:val="0"/>
          <w:numId w:val="6"/>
        </w:numPr>
        <w:rPr>
          <w:rFonts w:ascii="Arial" w:hAnsi="Arial" w:cs="Arial"/>
          <w:sz w:val="20"/>
          <w:szCs w:val="20"/>
        </w:rPr>
      </w:pPr>
      <w:r>
        <w:rPr>
          <w:rFonts w:ascii="Arial" w:hAnsi="Arial" w:cs="Arial"/>
          <w:sz w:val="20"/>
          <w:szCs w:val="20"/>
        </w:rPr>
        <w:t>BE-AWARE 2 will promote</w:t>
      </w:r>
      <w:r w:rsidRPr="00F43A50">
        <w:rPr>
          <w:rFonts w:ascii="Arial" w:hAnsi="Arial" w:cs="Arial"/>
          <w:sz w:val="20"/>
          <w:szCs w:val="20"/>
        </w:rPr>
        <w:t xml:space="preserve"> common understanding of risk assessment practices and cross border risk management</w:t>
      </w:r>
    </w:p>
    <w:p w:rsidR="00D06035" w:rsidRDefault="00D06035" w:rsidP="00D06035">
      <w:pPr>
        <w:rPr>
          <w:rFonts w:ascii="Arial" w:hAnsi="Arial" w:cs="Arial"/>
          <w:b/>
          <w:sz w:val="24"/>
          <w:szCs w:val="24"/>
        </w:rPr>
      </w:pPr>
      <w:r>
        <w:rPr>
          <w:rFonts w:ascii="Arial" w:hAnsi="Arial" w:cs="Arial"/>
          <w:b/>
          <w:sz w:val="24"/>
          <w:szCs w:val="24"/>
        </w:rPr>
        <w:t>4. Target Groups</w:t>
      </w:r>
    </w:p>
    <w:p w:rsidR="00D06035" w:rsidRDefault="00D06035" w:rsidP="00D06035">
      <w:pPr>
        <w:rPr>
          <w:rFonts w:ascii="Arial" w:hAnsi="Arial" w:cs="Arial"/>
          <w:sz w:val="20"/>
          <w:szCs w:val="20"/>
        </w:rPr>
      </w:pPr>
      <w:r>
        <w:rPr>
          <w:rFonts w:ascii="Arial" w:hAnsi="Arial" w:cs="Arial"/>
          <w:sz w:val="20"/>
          <w:szCs w:val="20"/>
        </w:rPr>
        <w:t xml:space="preserve">The project has several specific target groups that it needs to communicate project progress and outputs with on a regular basis. </w:t>
      </w:r>
    </w:p>
    <w:p w:rsidR="00D06035" w:rsidRDefault="00D06035" w:rsidP="00D06035">
      <w:pPr>
        <w:pStyle w:val="ListParagraph"/>
        <w:numPr>
          <w:ilvl w:val="0"/>
          <w:numId w:val="4"/>
        </w:numPr>
        <w:rPr>
          <w:rFonts w:ascii="Arial" w:hAnsi="Arial" w:cs="Arial"/>
          <w:b/>
          <w:sz w:val="20"/>
          <w:szCs w:val="20"/>
        </w:rPr>
      </w:pPr>
      <w:r w:rsidRPr="00AC6ED6">
        <w:rPr>
          <w:rFonts w:ascii="Arial" w:hAnsi="Arial" w:cs="Arial"/>
          <w:b/>
          <w:sz w:val="20"/>
          <w:szCs w:val="20"/>
        </w:rPr>
        <w:t xml:space="preserve">Greater </w:t>
      </w:r>
      <w:smartTag w:uri="urn:schemas-microsoft-com:office:smarttags" w:element="place">
        <w:r w:rsidRPr="00AC6ED6">
          <w:rPr>
            <w:rFonts w:ascii="Arial" w:hAnsi="Arial" w:cs="Arial"/>
            <w:b/>
            <w:sz w:val="20"/>
            <w:szCs w:val="20"/>
          </w:rPr>
          <w:t>North Sea</w:t>
        </w:r>
      </w:smartTag>
      <w:r w:rsidRPr="00AC6ED6">
        <w:rPr>
          <w:rFonts w:ascii="Arial" w:hAnsi="Arial" w:cs="Arial"/>
          <w:b/>
          <w:sz w:val="20"/>
          <w:szCs w:val="20"/>
        </w:rPr>
        <w:t xml:space="preserve"> Stakeholders</w:t>
      </w:r>
    </w:p>
    <w:p w:rsidR="00D06035" w:rsidRDefault="00D06035" w:rsidP="00D06035">
      <w:pPr>
        <w:pStyle w:val="ListParagraph"/>
        <w:numPr>
          <w:ilvl w:val="1"/>
          <w:numId w:val="4"/>
        </w:numPr>
        <w:rPr>
          <w:rFonts w:ascii="Arial" w:hAnsi="Arial" w:cs="Arial"/>
          <w:sz w:val="20"/>
          <w:szCs w:val="20"/>
        </w:rPr>
      </w:pPr>
      <w:r>
        <w:rPr>
          <w:rFonts w:ascii="Arial" w:hAnsi="Arial" w:cs="Arial"/>
          <w:sz w:val="20"/>
          <w:szCs w:val="20"/>
        </w:rPr>
        <w:t>Policy makers and Civil Servants</w:t>
      </w:r>
      <w:r w:rsidRPr="00AC6ED6">
        <w:rPr>
          <w:rFonts w:ascii="Arial" w:hAnsi="Arial" w:cs="Arial"/>
          <w:sz w:val="20"/>
          <w:szCs w:val="20"/>
        </w:rPr>
        <w:t xml:space="preserve"> from </w:t>
      </w:r>
      <w:r>
        <w:rPr>
          <w:rFonts w:ascii="Arial" w:hAnsi="Arial" w:cs="Arial"/>
          <w:sz w:val="20"/>
          <w:szCs w:val="20"/>
        </w:rPr>
        <w:t>in Ministries responsible for the marine environment and maritime affairs in Greater North Sea Countries.</w:t>
      </w:r>
    </w:p>
    <w:p w:rsidR="00D06035" w:rsidRDefault="00D06035" w:rsidP="00D06035">
      <w:pPr>
        <w:pStyle w:val="ListParagraph"/>
        <w:numPr>
          <w:ilvl w:val="1"/>
          <w:numId w:val="4"/>
        </w:numPr>
        <w:rPr>
          <w:rFonts w:ascii="Arial" w:hAnsi="Arial" w:cs="Arial"/>
          <w:sz w:val="20"/>
          <w:szCs w:val="20"/>
        </w:rPr>
      </w:pPr>
      <w:r>
        <w:rPr>
          <w:rFonts w:ascii="Arial" w:hAnsi="Arial" w:cs="Arial"/>
          <w:sz w:val="20"/>
          <w:szCs w:val="20"/>
        </w:rPr>
        <w:t>National Agencies responsible for prevention, preparedness and response to marine pollution in Greater North Sea Countries.</w:t>
      </w:r>
    </w:p>
    <w:p w:rsidR="00D06035" w:rsidRPr="00AC6ED6" w:rsidRDefault="00D06035" w:rsidP="00D06035">
      <w:pPr>
        <w:pStyle w:val="ListParagraph"/>
        <w:numPr>
          <w:ilvl w:val="1"/>
          <w:numId w:val="4"/>
        </w:numPr>
        <w:rPr>
          <w:rFonts w:ascii="Arial" w:hAnsi="Arial" w:cs="Arial"/>
          <w:sz w:val="20"/>
          <w:szCs w:val="20"/>
        </w:rPr>
      </w:pPr>
      <w:r>
        <w:rPr>
          <w:rFonts w:ascii="Arial" w:hAnsi="Arial" w:cs="Arial"/>
          <w:sz w:val="20"/>
          <w:szCs w:val="20"/>
        </w:rPr>
        <w:t>Regional and Intergovernmental Organisation with an interest in the marine environment, such as the OSPAR Commission.</w:t>
      </w:r>
    </w:p>
    <w:p w:rsidR="00D06035" w:rsidRDefault="00D06035" w:rsidP="00D06035">
      <w:pPr>
        <w:pStyle w:val="ListParagraph"/>
        <w:numPr>
          <w:ilvl w:val="1"/>
          <w:numId w:val="4"/>
        </w:numPr>
        <w:rPr>
          <w:rFonts w:ascii="Arial" w:hAnsi="Arial" w:cs="Arial"/>
          <w:sz w:val="20"/>
          <w:szCs w:val="20"/>
        </w:rPr>
      </w:pPr>
      <w:r>
        <w:rPr>
          <w:rFonts w:ascii="Arial" w:hAnsi="Arial" w:cs="Arial"/>
          <w:sz w:val="20"/>
          <w:szCs w:val="20"/>
        </w:rPr>
        <w:t>Regional and Local Government with an obligation to respond to marine pollution incidents.</w:t>
      </w:r>
    </w:p>
    <w:p w:rsidR="00D06035" w:rsidRDefault="00D06035" w:rsidP="00D06035">
      <w:pPr>
        <w:pStyle w:val="ListParagraph"/>
        <w:ind w:left="1440"/>
        <w:rPr>
          <w:rFonts w:ascii="Arial" w:hAnsi="Arial" w:cs="Arial"/>
          <w:sz w:val="20"/>
          <w:szCs w:val="20"/>
        </w:rPr>
      </w:pPr>
    </w:p>
    <w:p w:rsidR="00D06035" w:rsidRDefault="00D06035" w:rsidP="00D06035">
      <w:pPr>
        <w:pStyle w:val="ListParagraph"/>
        <w:numPr>
          <w:ilvl w:val="0"/>
          <w:numId w:val="4"/>
        </w:numPr>
        <w:rPr>
          <w:rFonts w:ascii="Arial" w:hAnsi="Arial" w:cs="Arial"/>
          <w:b/>
          <w:sz w:val="20"/>
          <w:szCs w:val="20"/>
        </w:rPr>
      </w:pPr>
      <w:r w:rsidRPr="00BC0C11">
        <w:rPr>
          <w:rFonts w:ascii="Arial" w:hAnsi="Arial" w:cs="Arial"/>
          <w:b/>
          <w:sz w:val="20"/>
          <w:szCs w:val="20"/>
        </w:rPr>
        <w:t>European Stakeholders</w:t>
      </w:r>
    </w:p>
    <w:p w:rsidR="00BF1D7D" w:rsidRDefault="00BF1D7D" w:rsidP="00D06035">
      <w:pPr>
        <w:pStyle w:val="ListParagraph"/>
        <w:numPr>
          <w:ilvl w:val="1"/>
          <w:numId w:val="4"/>
        </w:numPr>
        <w:rPr>
          <w:rFonts w:ascii="Arial" w:hAnsi="Arial" w:cs="Arial"/>
          <w:sz w:val="20"/>
          <w:szCs w:val="20"/>
        </w:rPr>
      </w:pPr>
      <w:r>
        <w:rPr>
          <w:rFonts w:ascii="Arial" w:hAnsi="Arial" w:cs="Arial"/>
          <w:sz w:val="20"/>
          <w:szCs w:val="20"/>
        </w:rPr>
        <w:t>European Commission, DG ECHO</w:t>
      </w:r>
    </w:p>
    <w:p w:rsidR="00D06035" w:rsidRPr="002143EB" w:rsidRDefault="00D06035" w:rsidP="00D06035">
      <w:pPr>
        <w:pStyle w:val="ListParagraph"/>
        <w:numPr>
          <w:ilvl w:val="1"/>
          <w:numId w:val="4"/>
        </w:numPr>
        <w:rPr>
          <w:rFonts w:ascii="Arial" w:hAnsi="Arial" w:cs="Arial"/>
          <w:sz w:val="20"/>
          <w:szCs w:val="20"/>
        </w:rPr>
      </w:pPr>
      <w:r>
        <w:rPr>
          <w:rFonts w:ascii="Arial" w:hAnsi="Arial" w:cs="Arial"/>
          <w:sz w:val="20"/>
          <w:szCs w:val="20"/>
        </w:rPr>
        <w:t>The</w:t>
      </w:r>
      <w:r w:rsidRPr="002143EB">
        <w:rPr>
          <w:rFonts w:ascii="Arial" w:hAnsi="Arial" w:cs="Arial"/>
          <w:sz w:val="20"/>
          <w:szCs w:val="20"/>
        </w:rPr>
        <w:t xml:space="preserve"> European Maritime Safety Agency (EMSA)</w:t>
      </w:r>
    </w:p>
    <w:p w:rsidR="00D06035" w:rsidRPr="002143EB" w:rsidRDefault="00D06035" w:rsidP="00D06035">
      <w:pPr>
        <w:pStyle w:val="ListParagraph"/>
        <w:numPr>
          <w:ilvl w:val="1"/>
          <w:numId w:val="4"/>
        </w:numPr>
        <w:rPr>
          <w:rFonts w:ascii="Arial" w:hAnsi="Arial" w:cs="Arial"/>
          <w:sz w:val="20"/>
          <w:szCs w:val="20"/>
        </w:rPr>
      </w:pPr>
      <w:r w:rsidRPr="002143EB">
        <w:rPr>
          <w:rFonts w:ascii="Arial" w:hAnsi="Arial" w:cs="Arial"/>
          <w:sz w:val="20"/>
          <w:szCs w:val="20"/>
        </w:rPr>
        <w:t xml:space="preserve">Regional organisations in other sea areas in </w:t>
      </w:r>
      <w:smartTag w:uri="urn:schemas-microsoft-com:office:smarttags" w:element="place">
        <w:r w:rsidRPr="002143EB">
          <w:rPr>
            <w:rFonts w:ascii="Arial" w:hAnsi="Arial" w:cs="Arial"/>
            <w:sz w:val="20"/>
            <w:szCs w:val="20"/>
          </w:rPr>
          <w:t>Europe</w:t>
        </w:r>
      </w:smartTag>
      <w:r w:rsidRPr="002143EB">
        <w:rPr>
          <w:rFonts w:ascii="Arial" w:hAnsi="Arial" w:cs="Arial"/>
          <w:sz w:val="20"/>
          <w:szCs w:val="20"/>
        </w:rPr>
        <w:t xml:space="preserve"> dealing with protection of the marine environment against pollution from shipping: </w:t>
      </w:r>
    </w:p>
    <w:p w:rsidR="00D06035" w:rsidRDefault="00D06035" w:rsidP="00D06035">
      <w:pPr>
        <w:pStyle w:val="ListParagraph"/>
        <w:numPr>
          <w:ilvl w:val="2"/>
          <w:numId w:val="4"/>
        </w:numPr>
        <w:rPr>
          <w:rFonts w:ascii="Arial" w:hAnsi="Arial" w:cs="Arial"/>
          <w:sz w:val="20"/>
          <w:szCs w:val="20"/>
        </w:rPr>
      </w:pPr>
      <w:r>
        <w:rPr>
          <w:rFonts w:ascii="Arial" w:hAnsi="Arial" w:cs="Arial"/>
          <w:sz w:val="20"/>
          <w:szCs w:val="20"/>
        </w:rPr>
        <w:t>Baltic Marine Environment Protection Commission (HELCOM)</w:t>
      </w:r>
    </w:p>
    <w:p w:rsidR="00D06035" w:rsidRPr="002143EB" w:rsidRDefault="00D06035" w:rsidP="00D06035">
      <w:pPr>
        <w:pStyle w:val="ListParagraph"/>
        <w:numPr>
          <w:ilvl w:val="2"/>
          <w:numId w:val="4"/>
        </w:numPr>
        <w:rPr>
          <w:rFonts w:ascii="Arial" w:hAnsi="Arial" w:cs="Arial"/>
          <w:sz w:val="20"/>
          <w:szCs w:val="20"/>
        </w:rPr>
      </w:pPr>
      <w:r w:rsidRPr="002143EB">
        <w:rPr>
          <w:rFonts w:ascii="Arial" w:hAnsi="Arial" w:cs="Arial"/>
          <w:sz w:val="20"/>
          <w:szCs w:val="20"/>
        </w:rPr>
        <w:t xml:space="preserve">The Commission on the Protection of the Black Sea Against Pollution (the </w:t>
      </w:r>
      <w:smartTag w:uri="urn:schemas-microsoft-com:office:smarttags" w:element="place">
        <w:r w:rsidRPr="002143EB">
          <w:rPr>
            <w:rFonts w:ascii="Arial" w:hAnsi="Arial" w:cs="Arial"/>
            <w:sz w:val="20"/>
            <w:szCs w:val="20"/>
          </w:rPr>
          <w:t>Black Sea</w:t>
        </w:r>
      </w:smartTag>
      <w:r w:rsidRPr="002143EB">
        <w:rPr>
          <w:rFonts w:ascii="Arial" w:hAnsi="Arial" w:cs="Arial"/>
          <w:sz w:val="20"/>
          <w:szCs w:val="20"/>
        </w:rPr>
        <w:t xml:space="preserve"> Commission)</w:t>
      </w:r>
    </w:p>
    <w:p w:rsidR="00D06035" w:rsidRDefault="00D06035" w:rsidP="00D06035">
      <w:pPr>
        <w:pStyle w:val="ListParagraph"/>
        <w:numPr>
          <w:ilvl w:val="2"/>
          <w:numId w:val="4"/>
        </w:numPr>
        <w:rPr>
          <w:rFonts w:ascii="Arial" w:hAnsi="Arial" w:cs="Arial"/>
          <w:sz w:val="20"/>
          <w:szCs w:val="20"/>
        </w:rPr>
      </w:pPr>
      <w:r w:rsidRPr="002143EB">
        <w:rPr>
          <w:rFonts w:ascii="Arial" w:hAnsi="Arial" w:cs="Arial"/>
          <w:sz w:val="20"/>
          <w:szCs w:val="20"/>
        </w:rPr>
        <w:t xml:space="preserve">Regional Marine Pollution Emergency Response Centre for the </w:t>
      </w:r>
      <w:smartTag w:uri="urn:schemas-microsoft-com:office:smarttags" w:element="place">
        <w:r w:rsidRPr="002143EB">
          <w:rPr>
            <w:rFonts w:ascii="Arial" w:hAnsi="Arial" w:cs="Arial"/>
            <w:sz w:val="20"/>
            <w:szCs w:val="20"/>
          </w:rPr>
          <w:t>Mediterranean Sea</w:t>
        </w:r>
      </w:smartTag>
      <w:r w:rsidRPr="002143EB">
        <w:rPr>
          <w:rFonts w:ascii="Arial" w:hAnsi="Arial" w:cs="Arial"/>
          <w:sz w:val="20"/>
          <w:szCs w:val="20"/>
        </w:rPr>
        <w:t xml:space="preserve"> (REMPEC)</w:t>
      </w:r>
    </w:p>
    <w:p w:rsidR="00D06035" w:rsidRDefault="00D06035" w:rsidP="00D06035">
      <w:pPr>
        <w:pStyle w:val="ListParagraph"/>
        <w:rPr>
          <w:rFonts w:ascii="Arial" w:hAnsi="Arial" w:cs="Arial"/>
          <w:sz w:val="20"/>
          <w:szCs w:val="20"/>
        </w:rPr>
      </w:pPr>
    </w:p>
    <w:p w:rsidR="00D06035" w:rsidRDefault="00D06035" w:rsidP="00F43A50">
      <w:pPr>
        <w:pStyle w:val="ListParagraph"/>
        <w:numPr>
          <w:ilvl w:val="0"/>
          <w:numId w:val="4"/>
        </w:numPr>
        <w:rPr>
          <w:rFonts w:ascii="Arial" w:hAnsi="Arial" w:cs="Arial"/>
          <w:sz w:val="20"/>
          <w:szCs w:val="20"/>
        </w:rPr>
      </w:pPr>
      <w:r w:rsidRPr="00555CDE">
        <w:rPr>
          <w:rFonts w:ascii="Arial" w:hAnsi="Arial" w:cs="Arial"/>
          <w:b/>
          <w:sz w:val="20"/>
          <w:szCs w:val="20"/>
        </w:rPr>
        <w:t>BE-AWARE Project Partners and Co-financers</w:t>
      </w:r>
      <w:r>
        <w:rPr>
          <w:rFonts w:ascii="Arial" w:hAnsi="Arial" w:cs="Arial"/>
          <w:b/>
          <w:sz w:val="20"/>
          <w:szCs w:val="20"/>
        </w:rPr>
        <w:t xml:space="preserve">: </w:t>
      </w:r>
      <w:r w:rsidRPr="00F43A50">
        <w:rPr>
          <w:rFonts w:ascii="Arial" w:hAnsi="Arial" w:cs="Arial"/>
          <w:color w:val="000000"/>
          <w:sz w:val="20"/>
          <w:szCs w:val="20"/>
        </w:rPr>
        <w:t xml:space="preserve">Bonn Agreement Secretariat, </w:t>
      </w:r>
      <w:r w:rsidR="00F43A50" w:rsidRPr="00F43A50">
        <w:rPr>
          <w:rFonts w:ascii="Arial" w:hAnsi="Arial" w:cs="Arial"/>
          <w:sz w:val="20"/>
          <w:szCs w:val="20"/>
        </w:rPr>
        <w:t>DG Environment</w:t>
      </w:r>
      <w:r w:rsidR="00F43A50">
        <w:rPr>
          <w:rFonts w:ascii="Arial" w:hAnsi="Arial" w:cs="Arial"/>
          <w:sz w:val="20"/>
          <w:szCs w:val="20"/>
        </w:rPr>
        <w:t xml:space="preserve">, </w:t>
      </w:r>
      <w:r w:rsidR="00F43A50" w:rsidRPr="00F43A50">
        <w:rPr>
          <w:rFonts w:ascii="Arial" w:hAnsi="Arial" w:cs="Arial"/>
          <w:sz w:val="20"/>
          <w:szCs w:val="20"/>
        </w:rPr>
        <w:t>Admiral Danish Fleet Headquarters</w:t>
      </w:r>
      <w:r w:rsidR="00F43A50">
        <w:rPr>
          <w:rFonts w:ascii="Arial" w:hAnsi="Arial" w:cs="Arial"/>
          <w:sz w:val="20"/>
          <w:szCs w:val="20"/>
        </w:rPr>
        <w:t>, PREMAR MANCHE, RWS Zee &amp; Delta</w:t>
      </w:r>
      <w:r w:rsidR="00F43A50" w:rsidRPr="00F43A50">
        <w:rPr>
          <w:rFonts w:ascii="Arial" w:hAnsi="Arial" w:cs="Arial"/>
          <w:sz w:val="20"/>
          <w:szCs w:val="20"/>
        </w:rPr>
        <w:t>,</w:t>
      </w:r>
      <w:r w:rsidR="00F43A50">
        <w:rPr>
          <w:rFonts w:ascii="Arial" w:hAnsi="Arial" w:cs="Arial"/>
          <w:sz w:val="20"/>
          <w:szCs w:val="20"/>
        </w:rPr>
        <w:t xml:space="preserve"> Maritime and Coastguard Agency, Norwegian Coastal Administration, Swedish Coastguard, </w:t>
      </w:r>
      <w:r w:rsidR="00F43A50" w:rsidRPr="00F43A50">
        <w:rPr>
          <w:rFonts w:ascii="Arial" w:hAnsi="Arial" w:cs="Arial"/>
          <w:sz w:val="20"/>
          <w:szCs w:val="20"/>
        </w:rPr>
        <w:t>Department for Coastal Response and Federal Public Service Public Health, Food Chain Safety and Environment</w:t>
      </w:r>
      <w:r w:rsidR="00F43A50">
        <w:rPr>
          <w:rFonts w:ascii="Arial" w:hAnsi="Arial" w:cs="Arial"/>
          <w:sz w:val="20"/>
          <w:szCs w:val="20"/>
        </w:rPr>
        <w:t xml:space="preserve"> and </w:t>
      </w:r>
      <w:r w:rsidR="00F43A50" w:rsidRPr="00F43A50">
        <w:rPr>
          <w:rFonts w:ascii="Arial" w:hAnsi="Arial" w:cs="Arial"/>
          <w:sz w:val="20"/>
          <w:szCs w:val="20"/>
        </w:rPr>
        <w:t xml:space="preserve">Centre </w:t>
      </w:r>
      <w:proofErr w:type="spellStart"/>
      <w:r w:rsidR="00F43A50" w:rsidRPr="00F43A50">
        <w:rPr>
          <w:rFonts w:ascii="Arial" w:hAnsi="Arial" w:cs="Arial"/>
          <w:sz w:val="20"/>
          <w:szCs w:val="20"/>
        </w:rPr>
        <w:t>d'Études</w:t>
      </w:r>
      <w:proofErr w:type="spellEnd"/>
      <w:r w:rsidR="00F43A50" w:rsidRPr="00F43A50">
        <w:rPr>
          <w:rFonts w:ascii="Arial" w:hAnsi="Arial" w:cs="Arial"/>
          <w:sz w:val="20"/>
          <w:szCs w:val="20"/>
        </w:rPr>
        <w:t xml:space="preserve"> Techniques Maritimes et </w:t>
      </w:r>
      <w:proofErr w:type="spellStart"/>
      <w:r w:rsidR="00F43A50" w:rsidRPr="00F43A50">
        <w:rPr>
          <w:rFonts w:ascii="Arial" w:hAnsi="Arial" w:cs="Arial"/>
          <w:sz w:val="20"/>
          <w:szCs w:val="20"/>
        </w:rPr>
        <w:t>Fluviales</w:t>
      </w:r>
      <w:proofErr w:type="spellEnd"/>
      <w:r w:rsidR="00F43A50">
        <w:rPr>
          <w:rFonts w:ascii="Arial" w:hAnsi="Arial" w:cs="Arial"/>
          <w:sz w:val="20"/>
          <w:szCs w:val="20"/>
        </w:rPr>
        <w:t xml:space="preserve">. </w:t>
      </w:r>
    </w:p>
    <w:p w:rsidR="00F43A50" w:rsidRPr="00F43A50" w:rsidRDefault="00F43A50" w:rsidP="00F43A50">
      <w:pPr>
        <w:pStyle w:val="ListParagraph"/>
        <w:rPr>
          <w:rFonts w:ascii="Arial" w:hAnsi="Arial" w:cs="Arial"/>
          <w:sz w:val="20"/>
          <w:szCs w:val="20"/>
        </w:rPr>
      </w:pPr>
    </w:p>
    <w:p w:rsidR="00D06035" w:rsidRDefault="00D06035" w:rsidP="00D06035">
      <w:pPr>
        <w:pStyle w:val="ListParagraph"/>
        <w:numPr>
          <w:ilvl w:val="0"/>
          <w:numId w:val="4"/>
        </w:numPr>
        <w:rPr>
          <w:rFonts w:ascii="Arial" w:hAnsi="Arial" w:cs="Arial"/>
          <w:b/>
          <w:sz w:val="20"/>
          <w:szCs w:val="20"/>
        </w:rPr>
      </w:pPr>
      <w:r w:rsidRPr="00061F56">
        <w:rPr>
          <w:rFonts w:ascii="Arial" w:hAnsi="Arial" w:cs="Arial"/>
          <w:b/>
          <w:sz w:val="20"/>
          <w:szCs w:val="20"/>
        </w:rPr>
        <w:t>General Public</w:t>
      </w:r>
      <w:r>
        <w:rPr>
          <w:rFonts w:ascii="Arial" w:hAnsi="Arial" w:cs="Arial"/>
          <w:b/>
          <w:sz w:val="20"/>
          <w:szCs w:val="20"/>
        </w:rPr>
        <w:t xml:space="preserve"> in States in the Greater </w:t>
      </w:r>
      <w:smartTag w:uri="urn:schemas-microsoft-com:office:smarttags" w:element="place">
        <w:r>
          <w:rPr>
            <w:rFonts w:ascii="Arial" w:hAnsi="Arial" w:cs="Arial"/>
            <w:b/>
            <w:sz w:val="20"/>
            <w:szCs w:val="20"/>
          </w:rPr>
          <w:t>North Sea</w:t>
        </w:r>
      </w:smartTag>
      <w:r>
        <w:rPr>
          <w:rFonts w:ascii="Arial" w:hAnsi="Arial" w:cs="Arial"/>
          <w:b/>
          <w:sz w:val="20"/>
          <w:szCs w:val="20"/>
        </w:rPr>
        <w:t xml:space="preserve"> and its Approaches</w:t>
      </w:r>
    </w:p>
    <w:p w:rsidR="00D06035" w:rsidRDefault="00D06035" w:rsidP="00D06035">
      <w:pPr>
        <w:pStyle w:val="ListParagraph"/>
        <w:rPr>
          <w:rFonts w:ascii="Arial" w:hAnsi="Arial" w:cs="Arial"/>
          <w:b/>
          <w:sz w:val="20"/>
          <w:szCs w:val="20"/>
        </w:rPr>
      </w:pPr>
    </w:p>
    <w:p w:rsidR="00D06035" w:rsidRPr="00EB62D0" w:rsidRDefault="00D06035" w:rsidP="00D06035">
      <w:pPr>
        <w:pStyle w:val="ListParagraph"/>
        <w:numPr>
          <w:ilvl w:val="0"/>
          <w:numId w:val="4"/>
        </w:numPr>
        <w:rPr>
          <w:rFonts w:ascii="Arial" w:hAnsi="Arial" w:cs="Arial"/>
          <w:b/>
          <w:sz w:val="20"/>
          <w:szCs w:val="20"/>
        </w:rPr>
      </w:pPr>
      <w:r>
        <w:rPr>
          <w:rFonts w:ascii="Arial" w:hAnsi="Arial" w:cs="Arial"/>
          <w:b/>
          <w:sz w:val="20"/>
          <w:szCs w:val="20"/>
        </w:rPr>
        <w:t xml:space="preserve">Media: </w:t>
      </w:r>
      <w:r w:rsidRPr="006518D0">
        <w:rPr>
          <w:rFonts w:ascii="Arial" w:hAnsi="Arial" w:cs="Arial"/>
          <w:sz w:val="20"/>
          <w:szCs w:val="20"/>
        </w:rPr>
        <w:t>Particularly the print media</w:t>
      </w:r>
      <w:r>
        <w:rPr>
          <w:rFonts w:ascii="Arial" w:hAnsi="Arial" w:cs="Arial"/>
          <w:b/>
          <w:sz w:val="20"/>
          <w:szCs w:val="20"/>
        </w:rPr>
        <w:t xml:space="preserve"> </w:t>
      </w:r>
      <w:r w:rsidRPr="002779EA">
        <w:rPr>
          <w:rFonts w:ascii="Arial" w:hAnsi="Arial" w:cs="Arial"/>
          <w:sz w:val="20"/>
          <w:szCs w:val="20"/>
        </w:rPr>
        <w:t xml:space="preserve">both general and </w:t>
      </w:r>
      <w:r>
        <w:rPr>
          <w:rFonts w:ascii="Arial" w:hAnsi="Arial" w:cs="Arial"/>
          <w:sz w:val="20"/>
          <w:szCs w:val="20"/>
        </w:rPr>
        <w:t>sector specific.</w:t>
      </w:r>
      <w:r w:rsidRPr="002779EA">
        <w:rPr>
          <w:rFonts w:ascii="Arial" w:hAnsi="Arial" w:cs="Arial"/>
          <w:sz w:val="20"/>
          <w:szCs w:val="20"/>
        </w:rPr>
        <w:t xml:space="preserve"> </w:t>
      </w:r>
      <w:r>
        <w:rPr>
          <w:rFonts w:ascii="Arial" w:hAnsi="Arial" w:cs="Arial"/>
          <w:sz w:val="20"/>
          <w:szCs w:val="20"/>
        </w:rPr>
        <w:t>E</w:t>
      </w:r>
      <w:r w:rsidRPr="006518D0">
        <w:rPr>
          <w:rFonts w:ascii="Arial" w:hAnsi="Arial" w:cs="Arial"/>
          <w:sz w:val="20"/>
          <w:szCs w:val="20"/>
        </w:rPr>
        <w:t>xisting contacts</w:t>
      </w:r>
      <w:r>
        <w:rPr>
          <w:rFonts w:ascii="Arial" w:hAnsi="Arial" w:cs="Arial"/>
          <w:sz w:val="20"/>
          <w:szCs w:val="20"/>
        </w:rPr>
        <w:t xml:space="preserve"> and expertise</w:t>
      </w:r>
      <w:r>
        <w:rPr>
          <w:rFonts w:ascii="Arial" w:hAnsi="Arial" w:cs="Arial"/>
          <w:b/>
          <w:sz w:val="20"/>
          <w:szCs w:val="20"/>
        </w:rPr>
        <w:t xml:space="preserve"> </w:t>
      </w:r>
      <w:r>
        <w:rPr>
          <w:rFonts w:ascii="Arial" w:hAnsi="Arial" w:cs="Arial"/>
          <w:sz w:val="20"/>
          <w:szCs w:val="20"/>
        </w:rPr>
        <w:t xml:space="preserve">within </w:t>
      </w:r>
      <w:smartTag w:uri="urn:schemas-microsoft-com:office:smarttags" w:element="place">
        <w:smartTag w:uri="urn:schemas-microsoft-com:office:smarttags" w:element="City">
          <w:r>
            <w:rPr>
              <w:rFonts w:ascii="Arial" w:hAnsi="Arial" w:cs="Arial"/>
              <w:sz w:val="20"/>
              <w:szCs w:val="20"/>
            </w:rPr>
            <w:t>Bonn</w:t>
          </w:r>
        </w:smartTag>
      </w:smartTag>
      <w:r>
        <w:rPr>
          <w:rFonts w:ascii="Arial" w:hAnsi="Arial" w:cs="Arial"/>
          <w:sz w:val="20"/>
          <w:szCs w:val="20"/>
        </w:rPr>
        <w:t xml:space="preserve"> Agreement Contracting Parties will be utilised to access media contacts within Greater </w:t>
      </w:r>
      <w:r w:rsidRPr="002779EA">
        <w:rPr>
          <w:rFonts w:ascii="Arial" w:hAnsi="Arial" w:cs="Arial"/>
          <w:sz w:val="20"/>
          <w:szCs w:val="20"/>
        </w:rPr>
        <w:t>North Sea States</w:t>
      </w:r>
      <w:r>
        <w:rPr>
          <w:rFonts w:ascii="Arial" w:hAnsi="Arial" w:cs="Arial"/>
          <w:sz w:val="20"/>
          <w:szCs w:val="20"/>
        </w:rPr>
        <w:t>.</w:t>
      </w:r>
    </w:p>
    <w:p w:rsidR="00EB62D0" w:rsidRPr="00EB62D0" w:rsidRDefault="00EB62D0" w:rsidP="00EB62D0">
      <w:pPr>
        <w:pStyle w:val="ListParagraph"/>
        <w:rPr>
          <w:rFonts w:ascii="Arial" w:hAnsi="Arial" w:cs="Arial"/>
          <w:b/>
          <w:sz w:val="20"/>
          <w:szCs w:val="20"/>
        </w:rPr>
      </w:pPr>
    </w:p>
    <w:p w:rsidR="00D06035" w:rsidRDefault="00D06035" w:rsidP="00D06035">
      <w:pPr>
        <w:rPr>
          <w:rFonts w:ascii="Arial" w:hAnsi="Arial" w:cs="Arial"/>
          <w:b/>
          <w:sz w:val="24"/>
          <w:szCs w:val="24"/>
        </w:rPr>
      </w:pPr>
      <w:r>
        <w:rPr>
          <w:rFonts w:ascii="Arial" w:hAnsi="Arial" w:cs="Arial"/>
          <w:b/>
          <w:sz w:val="24"/>
          <w:szCs w:val="24"/>
        </w:rPr>
        <w:lastRenderedPageBreak/>
        <w:t>5. Communication Objectives</w:t>
      </w:r>
    </w:p>
    <w:p w:rsidR="00D06035" w:rsidRDefault="00D06035" w:rsidP="00D06035">
      <w:pPr>
        <w:rPr>
          <w:rFonts w:ascii="Arial" w:hAnsi="Arial" w:cs="Arial"/>
          <w:sz w:val="20"/>
          <w:szCs w:val="20"/>
        </w:rPr>
      </w:pPr>
      <w:r w:rsidRPr="00DA2547">
        <w:rPr>
          <w:rFonts w:ascii="Arial" w:hAnsi="Arial" w:cs="Arial"/>
          <w:sz w:val="20"/>
          <w:szCs w:val="20"/>
        </w:rPr>
        <w:t>In o</w:t>
      </w:r>
      <w:r>
        <w:rPr>
          <w:rFonts w:ascii="Arial" w:hAnsi="Arial" w:cs="Arial"/>
          <w:sz w:val="20"/>
          <w:szCs w:val="20"/>
        </w:rPr>
        <w:t>rder to implement this plan it is important to have clear, measureable and achievable objectives that can highlight progress in implementing the plan and raising the visibility of the project. Key communication objectives for the BE-AWARE Project are:</w:t>
      </w:r>
    </w:p>
    <w:p w:rsidR="00D06035" w:rsidRDefault="00D06035" w:rsidP="00D06035">
      <w:pPr>
        <w:pStyle w:val="ListParagraph"/>
        <w:numPr>
          <w:ilvl w:val="0"/>
          <w:numId w:val="2"/>
        </w:numPr>
        <w:rPr>
          <w:rFonts w:ascii="Arial" w:hAnsi="Arial" w:cs="Arial"/>
          <w:sz w:val="20"/>
          <w:szCs w:val="20"/>
        </w:rPr>
      </w:pPr>
      <w:r>
        <w:rPr>
          <w:rFonts w:ascii="Arial" w:hAnsi="Arial" w:cs="Arial"/>
          <w:sz w:val="20"/>
          <w:szCs w:val="20"/>
        </w:rPr>
        <w:t>Ensure effective communication between the Coordinating and Associated Beneficiaries by implementing online project management and collaboration tools to allow easy access to all project communication and documentation.</w:t>
      </w:r>
    </w:p>
    <w:p w:rsidR="00D06035" w:rsidRDefault="00D06035" w:rsidP="00D06035">
      <w:pPr>
        <w:pStyle w:val="ListParagraph"/>
        <w:numPr>
          <w:ilvl w:val="0"/>
          <w:numId w:val="2"/>
        </w:numPr>
        <w:rPr>
          <w:rFonts w:ascii="Arial" w:hAnsi="Arial" w:cs="Arial"/>
          <w:sz w:val="20"/>
          <w:szCs w:val="20"/>
        </w:rPr>
      </w:pPr>
      <w:r>
        <w:rPr>
          <w:rFonts w:ascii="Arial" w:hAnsi="Arial" w:cs="Arial"/>
          <w:sz w:val="20"/>
          <w:szCs w:val="20"/>
        </w:rPr>
        <w:t>Provide feedback reports to meetings of the Bonn Agreement, OTSOPA Working Group and Relevant Committees of OSPAR Commission to ensure understanding of the project in the wider civil protection and environmental community.</w:t>
      </w:r>
    </w:p>
    <w:p w:rsidR="00D06035" w:rsidRDefault="00D06035" w:rsidP="00D06035">
      <w:pPr>
        <w:pStyle w:val="ListParagraph"/>
        <w:numPr>
          <w:ilvl w:val="0"/>
          <w:numId w:val="2"/>
        </w:numPr>
        <w:rPr>
          <w:rFonts w:ascii="Arial" w:hAnsi="Arial" w:cs="Arial"/>
          <w:sz w:val="20"/>
          <w:szCs w:val="20"/>
        </w:rPr>
      </w:pPr>
      <w:r>
        <w:rPr>
          <w:rFonts w:ascii="Arial" w:hAnsi="Arial" w:cs="Arial"/>
          <w:sz w:val="20"/>
          <w:szCs w:val="20"/>
        </w:rPr>
        <w:t>Develop a project space on the Bonn Agreement website to highlight the project to the general public and act as a depository for project outputs and reports</w:t>
      </w:r>
    </w:p>
    <w:p w:rsidR="00D06035" w:rsidRDefault="00D06035" w:rsidP="00D06035">
      <w:pPr>
        <w:pStyle w:val="ListParagraph"/>
        <w:numPr>
          <w:ilvl w:val="0"/>
          <w:numId w:val="2"/>
        </w:numPr>
        <w:rPr>
          <w:rFonts w:ascii="Arial" w:hAnsi="Arial" w:cs="Arial"/>
          <w:sz w:val="20"/>
          <w:szCs w:val="20"/>
        </w:rPr>
      </w:pPr>
      <w:r>
        <w:rPr>
          <w:rFonts w:ascii="Arial" w:hAnsi="Arial" w:cs="Arial"/>
          <w:sz w:val="20"/>
          <w:szCs w:val="20"/>
        </w:rPr>
        <w:t>Develop contacts with communication experts within each Associated Beneficiary to increase the promotion of communication products in Greater North Sea States.</w:t>
      </w:r>
    </w:p>
    <w:p w:rsidR="00D06035" w:rsidRDefault="00D06035" w:rsidP="00D06035">
      <w:pPr>
        <w:pStyle w:val="ListParagraph"/>
        <w:numPr>
          <w:ilvl w:val="0"/>
          <w:numId w:val="2"/>
        </w:numPr>
        <w:rPr>
          <w:rFonts w:ascii="Arial" w:hAnsi="Arial" w:cs="Arial"/>
          <w:sz w:val="20"/>
          <w:szCs w:val="20"/>
        </w:rPr>
      </w:pPr>
      <w:r>
        <w:rPr>
          <w:rFonts w:ascii="Arial" w:hAnsi="Arial" w:cs="Arial"/>
          <w:sz w:val="20"/>
          <w:szCs w:val="20"/>
        </w:rPr>
        <w:t xml:space="preserve">Develop project materials (leaflets, presentations, </w:t>
      </w:r>
      <w:r w:rsidR="00F43A50">
        <w:rPr>
          <w:rFonts w:ascii="Arial" w:hAnsi="Arial" w:cs="Arial"/>
          <w:sz w:val="20"/>
          <w:szCs w:val="20"/>
        </w:rPr>
        <w:t>display stand</w:t>
      </w:r>
      <w:r>
        <w:rPr>
          <w:rFonts w:ascii="Arial" w:hAnsi="Arial" w:cs="Arial"/>
          <w:sz w:val="20"/>
          <w:szCs w:val="20"/>
        </w:rPr>
        <w:t xml:space="preserve"> and press releases) to highlight the projects aims and expected outputs to target groups.</w:t>
      </w:r>
    </w:p>
    <w:p w:rsidR="00D06035" w:rsidRDefault="00D06035" w:rsidP="00D06035">
      <w:pPr>
        <w:pStyle w:val="ListParagraph"/>
        <w:numPr>
          <w:ilvl w:val="0"/>
          <w:numId w:val="2"/>
        </w:numPr>
        <w:rPr>
          <w:rFonts w:ascii="Arial" w:hAnsi="Arial" w:cs="Arial"/>
          <w:sz w:val="20"/>
          <w:szCs w:val="20"/>
        </w:rPr>
      </w:pPr>
      <w:r>
        <w:rPr>
          <w:rFonts w:ascii="Arial" w:hAnsi="Arial" w:cs="Arial"/>
          <w:sz w:val="20"/>
          <w:szCs w:val="20"/>
        </w:rPr>
        <w:t>Report project progress to the EU through technical and financial progress and implementation reports.</w:t>
      </w:r>
    </w:p>
    <w:p w:rsidR="00D06035" w:rsidRDefault="00D06035" w:rsidP="00D06035">
      <w:pPr>
        <w:pStyle w:val="ListParagraph"/>
        <w:numPr>
          <w:ilvl w:val="0"/>
          <w:numId w:val="2"/>
        </w:numPr>
        <w:rPr>
          <w:rFonts w:ascii="Arial" w:hAnsi="Arial" w:cs="Arial"/>
          <w:sz w:val="20"/>
          <w:szCs w:val="20"/>
        </w:rPr>
      </w:pPr>
      <w:r>
        <w:rPr>
          <w:rFonts w:ascii="Arial" w:hAnsi="Arial" w:cs="Arial"/>
          <w:sz w:val="20"/>
          <w:szCs w:val="20"/>
        </w:rPr>
        <w:t>Undertake a final conference to disseminate project results to target groups and highlight where further work is required</w:t>
      </w:r>
    </w:p>
    <w:p w:rsidR="00D06035" w:rsidRPr="00F43A50" w:rsidRDefault="00D06035" w:rsidP="00D06035">
      <w:pPr>
        <w:pStyle w:val="ListParagraph"/>
        <w:numPr>
          <w:ilvl w:val="0"/>
          <w:numId w:val="2"/>
        </w:numPr>
        <w:rPr>
          <w:rFonts w:ascii="Arial" w:hAnsi="Arial" w:cs="Arial"/>
          <w:sz w:val="20"/>
          <w:szCs w:val="20"/>
        </w:rPr>
      </w:pPr>
      <w:r>
        <w:rPr>
          <w:rFonts w:ascii="Arial" w:hAnsi="Arial" w:cs="Arial"/>
          <w:sz w:val="20"/>
          <w:szCs w:val="20"/>
        </w:rPr>
        <w:t>Produce a final report to highlight project outcomes to all target groups.</w:t>
      </w:r>
    </w:p>
    <w:p w:rsidR="00D06035" w:rsidRPr="0061528E" w:rsidRDefault="00D06035" w:rsidP="00D06035">
      <w:pPr>
        <w:rPr>
          <w:rFonts w:ascii="Arial" w:hAnsi="Arial" w:cs="Arial"/>
          <w:b/>
          <w:sz w:val="24"/>
          <w:szCs w:val="24"/>
        </w:rPr>
      </w:pPr>
      <w:r>
        <w:rPr>
          <w:rFonts w:ascii="Arial" w:hAnsi="Arial" w:cs="Arial"/>
          <w:b/>
          <w:sz w:val="24"/>
          <w:szCs w:val="24"/>
        </w:rPr>
        <w:t>6. Communication Tools and Responsibilities</w:t>
      </w:r>
    </w:p>
    <w:p w:rsidR="00D06035" w:rsidRPr="00DA2547" w:rsidRDefault="00D06035" w:rsidP="00D06035">
      <w:pPr>
        <w:rPr>
          <w:rFonts w:ascii="Arial" w:hAnsi="Arial" w:cs="Arial"/>
          <w:sz w:val="20"/>
          <w:szCs w:val="20"/>
        </w:rPr>
      </w:pPr>
      <w:r>
        <w:rPr>
          <w:rFonts w:ascii="Arial" w:hAnsi="Arial" w:cs="Arial"/>
          <w:sz w:val="20"/>
          <w:szCs w:val="20"/>
        </w:rPr>
        <w:t>In order to communicate the project messages and outcomes to the target groups it will be important to use the full range of communication tools at the project’s disposal. The table below outlines the communication tools to be used by the project, what media is to be used, who is responsible for implementation, which target groups are addressed and how much project budget is available.</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447"/>
        <w:gridCol w:w="1622"/>
        <w:gridCol w:w="1673"/>
        <w:gridCol w:w="995"/>
        <w:gridCol w:w="1238"/>
      </w:tblGrid>
      <w:tr w:rsidR="00D06035" w:rsidRPr="004739E7" w:rsidTr="00424C04">
        <w:tc>
          <w:tcPr>
            <w:tcW w:w="1547" w:type="dxa"/>
          </w:tcPr>
          <w:p w:rsidR="00D06035" w:rsidRPr="004739E7" w:rsidRDefault="00D06035" w:rsidP="00424C04">
            <w:pPr>
              <w:pStyle w:val="ListParagraph"/>
              <w:spacing w:after="0" w:line="240" w:lineRule="auto"/>
              <w:ind w:left="0"/>
              <w:rPr>
                <w:rFonts w:ascii="Arial" w:hAnsi="Arial" w:cs="Arial"/>
                <w:b/>
                <w:sz w:val="20"/>
                <w:szCs w:val="20"/>
              </w:rPr>
            </w:pPr>
            <w:r w:rsidRPr="004739E7">
              <w:rPr>
                <w:rFonts w:ascii="Arial" w:hAnsi="Arial" w:cs="Arial"/>
                <w:b/>
                <w:sz w:val="20"/>
                <w:szCs w:val="20"/>
              </w:rPr>
              <w:t>Tool</w:t>
            </w:r>
          </w:p>
        </w:tc>
        <w:tc>
          <w:tcPr>
            <w:tcW w:w="1447" w:type="dxa"/>
          </w:tcPr>
          <w:p w:rsidR="00D06035" w:rsidRPr="004739E7" w:rsidRDefault="00D06035" w:rsidP="00424C04">
            <w:pPr>
              <w:pStyle w:val="ListParagraph"/>
              <w:spacing w:after="0" w:line="240" w:lineRule="auto"/>
              <w:ind w:left="0"/>
              <w:rPr>
                <w:rFonts w:ascii="Arial" w:hAnsi="Arial" w:cs="Arial"/>
                <w:b/>
                <w:sz w:val="20"/>
                <w:szCs w:val="20"/>
              </w:rPr>
            </w:pPr>
            <w:r w:rsidRPr="004739E7">
              <w:rPr>
                <w:rFonts w:ascii="Arial" w:hAnsi="Arial" w:cs="Arial"/>
                <w:b/>
                <w:sz w:val="20"/>
                <w:szCs w:val="20"/>
              </w:rPr>
              <w:t>Frequency</w:t>
            </w:r>
          </w:p>
        </w:tc>
        <w:tc>
          <w:tcPr>
            <w:tcW w:w="1622" w:type="dxa"/>
          </w:tcPr>
          <w:p w:rsidR="00D06035" w:rsidRPr="004739E7" w:rsidRDefault="00D06035" w:rsidP="00424C04">
            <w:pPr>
              <w:pStyle w:val="ListParagraph"/>
              <w:spacing w:after="0" w:line="240" w:lineRule="auto"/>
              <w:ind w:left="0"/>
              <w:rPr>
                <w:rFonts w:ascii="Arial" w:hAnsi="Arial" w:cs="Arial"/>
                <w:b/>
                <w:sz w:val="20"/>
                <w:szCs w:val="20"/>
              </w:rPr>
            </w:pPr>
            <w:r w:rsidRPr="004739E7">
              <w:rPr>
                <w:rFonts w:ascii="Arial" w:hAnsi="Arial" w:cs="Arial"/>
                <w:b/>
                <w:sz w:val="20"/>
                <w:szCs w:val="20"/>
              </w:rPr>
              <w:t xml:space="preserve">Medium </w:t>
            </w:r>
          </w:p>
        </w:tc>
        <w:tc>
          <w:tcPr>
            <w:tcW w:w="1673" w:type="dxa"/>
          </w:tcPr>
          <w:p w:rsidR="00D06035" w:rsidRPr="004739E7" w:rsidRDefault="00D06035" w:rsidP="00424C04">
            <w:pPr>
              <w:pStyle w:val="ListParagraph"/>
              <w:spacing w:after="0" w:line="240" w:lineRule="auto"/>
              <w:ind w:left="0"/>
              <w:rPr>
                <w:rFonts w:ascii="Arial" w:hAnsi="Arial" w:cs="Arial"/>
                <w:b/>
                <w:sz w:val="20"/>
                <w:szCs w:val="20"/>
              </w:rPr>
            </w:pPr>
            <w:r w:rsidRPr="004739E7">
              <w:rPr>
                <w:rFonts w:ascii="Arial" w:hAnsi="Arial" w:cs="Arial"/>
                <w:b/>
                <w:sz w:val="20"/>
                <w:szCs w:val="20"/>
              </w:rPr>
              <w:t>Responsible Party</w:t>
            </w:r>
          </w:p>
        </w:tc>
        <w:tc>
          <w:tcPr>
            <w:tcW w:w="995" w:type="dxa"/>
          </w:tcPr>
          <w:p w:rsidR="00D06035" w:rsidRPr="004739E7" w:rsidRDefault="00D06035" w:rsidP="00424C04">
            <w:pPr>
              <w:pStyle w:val="ListParagraph"/>
              <w:spacing w:after="0" w:line="240" w:lineRule="auto"/>
              <w:ind w:left="0"/>
              <w:rPr>
                <w:rFonts w:ascii="Arial" w:hAnsi="Arial" w:cs="Arial"/>
                <w:b/>
                <w:sz w:val="20"/>
                <w:szCs w:val="20"/>
              </w:rPr>
            </w:pPr>
            <w:r w:rsidRPr="004739E7">
              <w:rPr>
                <w:rFonts w:ascii="Arial" w:hAnsi="Arial" w:cs="Arial"/>
                <w:b/>
                <w:sz w:val="20"/>
                <w:szCs w:val="20"/>
              </w:rPr>
              <w:t>Target group</w:t>
            </w:r>
          </w:p>
        </w:tc>
        <w:tc>
          <w:tcPr>
            <w:tcW w:w="1238" w:type="dxa"/>
          </w:tcPr>
          <w:p w:rsidR="00D06035" w:rsidRPr="004739E7" w:rsidRDefault="00D06035" w:rsidP="00424C04">
            <w:pPr>
              <w:pStyle w:val="ListParagraph"/>
              <w:spacing w:after="0" w:line="240" w:lineRule="auto"/>
              <w:ind w:left="0"/>
              <w:rPr>
                <w:rFonts w:ascii="Arial" w:hAnsi="Arial" w:cs="Arial"/>
                <w:b/>
                <w:sz w:val="20"/>
                <w:szCs w:val="20"/>
              </w:rPr>
            </w:pPr>
            <w:r w:rsidRPr="004739E7">
              <w:rPr>
                <w:rFonts w:ascii="Arial" w:hAnsi="Arial" w:cs="Arial"/>
                <w:b/>
                <w:sz w:val="20"/>
                <w:szCs w:val="20"/>
              </w:rPr>
              <w:t>Budget</w:t>
            </w:r>
          </w:p>
        </w:tc>
      </w:tr>
      <w:tr w:rsidR="00D06035" w:rsidRPr="004739E7" w:rsidTr="00424C04">
        <w:tc>
          <w:tcPr>
            <w:tcW w:w="15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Basecamp project management site</w:t>
            </w:r>
          </w:p>
        </w:tc>
        <w:tc>
          <w:tcPr>
            <w:tcW w:w="14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Ongoing</w:t>
            </w:r>
          </w:p>
        </w:tc>
        <w:tc>
          <w:tcPr>
            <w:tcW w:w="1622"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Online</w:t>
            </w:r>
          </w:p>
        </w:tc>
        <w:tc>
          <w:tcPr>
            <w:tcW w:w="1673"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All</w:t>
            </w:r>
          </w:p>
        </w:tc>
        <w:tc>
          <w:tcPr>
            <w:tcW w:w="995"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3</w:t>
            </w:r>
          </w:p>
        </w:tc>
        <w:tc>
          <w:tcPr>
            <w:tcW w:w="1238"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N/A</w:t>
            </w:r>
          </w:p>
        </w:tc>
      </w:tr>
      <w:tr w:rsidR="00D06035" w:rsidRPr="004739E7" w:rsidTr="00424C04">
        <w:tc>
          <w:tcPr>
            <w:tcW w:w="15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WebEx online meetings</w:t>
            </w:r>
          </w:p>
        </w:tc>
        <w:tc>
          <w:tcPr>
            <w:tcW w:w="14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As required</w:t>
            </w:r>
          </w:p>
        </w:tc>
        <w:tc>
          <w:tcPr>
            <w:tcW w:w="1622" w:type="dxa"/>
          </w:tcPr>
          <w:p w:rsidR="00D06035" w:rsidRPr="004739E7" w:rsidRDefault="00D06035" w:rsidP="00424C04">
            <w:pPr>
              <w:pStyle w:val="ListParagraph"/>
              <w:spacing w:after="0" w:line="240" w:lineRule="auto"/>
              <w:ind w:left="0"/>
              <w:jc w:val="both"/>
              <w:rPr>
                <w:rFonts w:ascii="Arial" w:hAnsi="Arial" w:cs="Arial"/>
                <w:sz w:val="20"/>
                <w:szCs w:val="20"/>
              </w:rPr>
            </w:pPr>
            <w:r w:rsidRPr="004739E7">
              <w:rPr>
                <w:rFonts w:ascii="Arial" w:hAnsi="Arial" w:cs="Arial"/>
                <w:sz w:val="20"/>
                <w:szCs w:val="20"/>
              </w:rPr>
              <w:t>Online</w:t>
            </w:r>
          </w:p>
        </w:tc>
        <w:tc>
          <w:tcPr>
            <w:tcW w:w="1673"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All</w:t>
            </w:r>
          </w:p>
        </w:tc>
        <w:tc>
          <w:tcPr>
            <w:tcW w:w="995"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3</w:t>
            </w:r>
          </w:p>
        </w:tc>
        <w:tc>
          <w:tcPr>
            <w:tcW w:w="1238"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N/A</w:t>
            </w:r>
          </w:p>
        </w:tc>
      </w:tr>
      <w:tr w:rsidR="00D06035" w:rsidRPr="004739E7" w:rsidTr="00424C04">
        <w:tc>
          <w:tcPr>
            <w:tcW w:w="15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BA Meetings</w:t>
            </w:r>
          </w:p>
        </w:tc>
        <w:tc>
          <w:tcPr>
            <w:tcW w:w="14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Twice a year</w:t>
            </w:r>
          </w:p>
        </w:tc>
        <w:tc>
          <w:tcPr>
            <w:tcW w:w="1622"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In person</w:t>
            </w:r>
          </w:p>
        </w:tc>
        <w:tc>
          <w:tcPr>
            <w:tcW w:w="1673"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Secretariat/Task Managers</w:t>
            </w:r>
          </w:p>
        </w:tc>
        <w:tc>
          <w:tcPr>
            <w:tcW w:w="995"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2,3</w:t>
            </w:r>
          </w:p>
        </w:tc>
        <w:tc>
          <w:tcPr>
            <w:tcW w:w="1238"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N/A</w:t>
            </w:r>
          </w:p>
        </w:tc>
      </w:tr>
      <w:tr w:rsidR="00D06035" w:rsidRPr="004739E7" w:rsidTr="00424C04">
        <w:tc>
          <w:tcPr>
            <w:tcW w:w="15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External Meetings</w:t>
            </w:r>
          </w:p>
        </w:tc>
        <w:tc>
          <w:tcPr>
            <w:tcW w:w="14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As required</w:t>
            </w:r>
          </w:p>
        </w:tc>
        <w:tc>
          <w:tcPr>
            <w:tcW w:w="1622"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In person</w:t>
            </w:r>
          </w:p>
        </w:tc>
        <w:tc>
          <w:tcPr>
            <w:tcW w:w="1673"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All</w:t>
            </w:r>
          </w:p>
        </w:tc>
        <w:tc>
          <w:tcPr>
            <w:tcW w:w="995"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1,2,3</w:t>
            </w:r>
          </w:p>
        </w:tc>
        <w:tc>
          <w:tcPr>
            <w:tcW w:w="1238"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N/A</w:t>
            </w:r>
          </w:p>
        </w:tc>
      </w:tr>
      <w:tr w:rsidR="00D06035" w:rsidRPr="004739E7" w:rsidTr="00424C04">
        <w:tc>
          <w:tcPr>
            <w:tcW w:w="15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Project Leaflet</w:t>
            </w:r>
          </w:p>
        </w:tc>
        <w:tc>
          <w:tcPr>
            <w:tcW w:w="14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Once</w:t>
            </w:r>
          </w:p>
        </w:tc>
        <w:tc>
          <w:tcPr>
            <w:tcW w:w="1622"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Print</w:t>
            </w:r>
          </w:p>
        </w:tc>
        <w:tc>
          <w:tcPr>
            <w:tcW w:w="1673"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Secretariat</w:t>
            </w:r>
          </w:p>
        </w:tc>
        <w:tc>
          <w:tcPr>
            <w:tcW w:w="995"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All</w:t>
            </w:r>
          </w:p>
        </w:tc>
        <w:tc>
          <w:tcPr>
            <w:tcW w:w="1238"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€2000</w:t>
            </w:r>
          </w:p>
        </w:tc>
      </w:tr>
      <w:tr w:rsidR="00D06035" w:rsidRPr="004739E7" w:rsidTr="00424C04">
        <w:tc>
          <w:tcPr>
            <w:tcW w:w="15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Website</w:t>
            </w:r>
          </w:p>
        </w:tc>
        <w:tc>
          <w:tcPr>
            <w:tcW w:w="14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Ongoing</w:t>
            </w:r>
          </w:p>
        </w:tc>
        <w:tc>
          <w:tcPr>
            <w:tcW w:w="1622"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Online</w:t>
            </w:r>
          </w:p>
        </w:tc>
        <w:tc>
          <w:tcPr>
            <w:tcW w:w="1673"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Secretariat</w:t>
            </w:r>
          </w:p>
        </w:tc>
        <w:tc>
          <w:tcPr>
            <w:tcW w:w="995"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All</w:t>
            </w:r>
          </w:p>
        </w:tc>
        <w:tc>
          <w:tcPr>
            <w:tcW w:w="1238"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€1000</w:t>
            </w:r>
          </w:p>
        </w:tc>
      </w:tr>
      <w:tr w:rsidR="00D06035" w:rsidRPr="004739E7" w:rsidTr="00424C04">
        <w:tc>
          <w:tcPr>
            <w:tcW w:w="15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Personal emails and calls</w:t>
            </w:r>
          </w:p>
        </w:tc>
        <w:tc>
          <w:tcPr>
            <w:tcW w:w="14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As required</w:t>
            </w:r>
          </w:p>
        </w:tc>
        <w:tc>
          <w:tcPr>
            <w:tcW w:w="1622"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In person</w:t>
            </w:r>
          </w:p>
        </w:tc>
        <w:tc>
          <w:tcPr>
            <w:tcW w:w="1673"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All</w:t>
            </w:r>
          </w:p>
        </w:tc>
        <w:tc>
          <w:tcPr>
            <w:tcW w:w="995"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1,2,3,5</w:t>
            </w:r>
          </w:p>
        </w:tc>
        <w:tc>
          <w:tcPr>
            <w:tcW w:w="1238"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N/A</w:t>
            </w:r>
          </w:p>
        </w:tc>
      </w:tr>
      <w:tr w:rsidR="00F43A50" w:rsidRPr="004739E7" w:rsidTr="00424C04">
        <w:tc>
          <w:tcPr>
            <w:tcW w:w="1547" w:type="dxa"/>
          </w:tcPr>
          <w:p w:rsidR="00F43A50" w:rsidRPr="004739E7" w:rsidRDefault="00F43A50" w:rsidP="00424C04">
            <w:pPr>
              <w:pStyle w:val="ListParagraph"/>
              <w:spacing w:after="0" w:line="240" w:lineRule="auto"/>
              <w:ind w:left="0"/>
              <w:rPr>
                <w:rFonts w:ascii="Arial" w:hAnsi="Arial" w:cs="Arial"/>
                <w:sz w:val="20"/>
                <w:szCs w:val="20"/>
              </w:rPr>
            </w:pPr>
            <w:r>
              <w:rPr>
                <w:rFonts w:ascii="Arial" w:hAnsi="Arial" w:cs="Arial"/>
                <w:sz w:val="20"/>
                <w:szCs w:val="20"/>
              </w:rPr>
              <w:t>Interspill 2015 – attendance and display infrastructure</w:t>
            </w:r>
          </w:p>
        </w:tc>
        <w:tc>
          <w:tcPr>
            <w:tcW w:w="1447" w:type="dxa"/>
          </w:tcPr>
          <w:p w:rsidR="00F43A50" w:rsidRPr="004739E7" w:rsidRDefault="00F43A50" w:rsidP="00424C04">
            <w:pPr>
              <w:pStyle w:val="ListParagraph"/>
              <w:spacing w:after="0" w:line="240" w:lineRule="auto"/>
              <w:ind w:left="0"/>
              <w:rPr>
                <w:rFonts w:ascii="Arial" w:hAnsi="Arial" w:cs="Arial"/>
                <w:sz w:val="20"/>
                <w:szCs w:val="20"/>
              </w:rPr>
            </w:pPr>
            <w:r>
              <w:rPr>
                <w:rFonts w:ascii="Arial" w:hAnsi="Arial" w:cs="Arial"/>
                <w:sz w:val="20"/>
                <w:szCs w:val="20"/>
              </w:rPr>
              <w:t>Once</w:t>
            </w:r>
          </w:p>
        </w:tc>
        <w:tc>
          <w:tcPr>
            <w:tcW w:w="1622" w:type="dxa"/>
          </w:tcPr>
          <w:p w:rsidR="00F43A50" w:rsidRPr="004739E7" w:rsidRDefault="00F43A50" w:rsidP="00424C04">
            <w:pPr>
              <w:pStyle w:val="ListParagraph"/>
              <w:spacing w:after="0" w:line="240" w:lineRule="auto"/>
              <w:ind w:left="0"/>
              <w:rPr>
                <w:rFonts w:ascii="Arial" w:hAnsi="Arial" w:cs="Arial"/>
                <w:sz w:val="20"/>
                <w:szCs w:val="20"/>
              </w:rPr>
            </w:pPr>
            <w:r>
              <w:rPr>
                <w:rFonts w:ascii="Arial" w:hAnsi="Arial" w:cs="Arial"/>
                <w:sz w:val="20"/>
                <w:szCs w:val="20"/>
              </w:rPr>
              <w:t>In person</w:t>
            </w:r>
          </w:p>
        </w:tc>
        <w:tc>
          <w:tcPr>
            <w:tcW w:w="1673" w:type="dxa"/>
          </w:tcPr>
          <w:p w:rsidR="00F43A50" w:rsidRPr="004739E7" w:rsidRDefault="00F43A50" w:rsidP="00424C04">
            <w:pPr>
              <w:pStyle w:val="ListParagraph"/>
              <w:spacing w:after="0" w:line="240" w:lineRule="auto"/>
              <w:ind w:left="0"/>
              <w:rPr>
                <w:rFonts w:ascii="Arial" w:hAnsi="Arial" w:cs="Arial"/>
                <w:sz w:val="20"/>
                <w:szCs w:val="20"/>
              </w:rPr>
            </w:pPr>
            <w:r>
              <w:rPr>
                <w:rFonts w:ascii="Arial" w:hAnsi="Arial" w:cs="Arial"/>
                <w:sz w:val="20"/>
                <w:szCs w:val="20"/>
              </w:rPr>
              <w:t>Secretariat/task managers</w:t>
            </w:r>
          </w:p>
        </w:tc>
        <w:tc>
          <w:tcPr>
            <w:tcW w:w="995" w:type="dxa"/>
          </w:tcPr>
          <w:p w:rsidR="00F43A50" w:rsidRPr="004739E7" w:rsidRDefault="00F43A50" w:rsidP="00424C04">
            <w:pPr>
              <w:pStyle w:val="ListParagraph"/>
              <w:spacing w:after="0" w:line="240" w:lineRule="auto"/>
              <w:ind w:left="0"/>
              <w:rPr>
                <w:rFonts w:ascii="Arial" w:hAnsi="Arial" w:cs="Arial"/>
                <w:sz w:val="20"/>
                <w:szCs w:val="20"/>
              </w:rPr>
            </w:pPr>
            <w:r>
              <w:rPr>
                <w:rFonts w:ascii="Arial" w:hAnsi="Arial" w:cs="Arial"/>
                <w:sz w:val="20"/>
                <w:szCs w:val="20"/>
              </w:rPr>
              <w:t>1, 2, 3</w:t>
            </w:r>
          </w:p>
        </w:tc>
        <w:tc>
          <w:tcPr>
            <w:tcW w:w="1238" w:type="dxa"/>
          </w:tcPr>
          <w:p w:rsidR="00F43A50" w:rsidRPr="004739E7" w:rsidRDefault="00F43A50" w:rsidP="00424C04">
            <w:pPr>
              <w:pStyle w:val="ListParagraph"/>
              <w:spacing w:after="0" w:line="240" w:lineRule="auto"/>
              <w:ind w:left="0"/>
              <w:rPr>
                <w:rFonts w:ascii="Arial" w:hAnsi="Arial" w:cs="Arial"/>
                <w:sz w:val="20"/>
                <w:szCs w:val="20"/>
              </w:rPr>
            </w:pPr>
            <w:r w:rsidRPr="00BF1D7D">
              <w:rPr>
                <w:rFonts w:ascii="Arial" w:hAnsi="Arial" w:cs="Arial"/>
                <w:sz w:val="20"/>
                <w:szCs w:val="20"/>
              </w:rPr>
              <w:t>€7000</w:t>
            </w:r>
          </w:p>
        </w:tc>
      </w:tr>
      <w:tr w:rsidR="00D06035" w:rsidRPr="004739E7" w:rsidTr="00424C04">
        <w:tc>
          <w:tcPr>
            <w:tcW w:w="15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Press Releases</w:t>
            </w:r>
          </w:p>
        </w:tc>
        <w:tc>
          <w:tcPr>
            <w:tcW w:w="14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As Required</w:t>
            </w:r>
          </w:p>
        </w:tc>
        <w:tc>
          <w:tcPr>
            <w:tcW w:w="1622"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Electronic</w:t>
            </w:r>
          </w:p>
        </w:tc>
        <w:tc>
          <w:tcPr>
            <w:tcW w:w="1673"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Secretariat/ Task Managers</w:t>
            </w:r>
          </w:p>
        </w:tc>
        <w:tc>
          <w:tcPr>
            <w:tcW w:w="995"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5</w:t>
            </w:r>
          </w:p>
        </w:tc>
        <w:tc>
          <w:tcPr>
            <w:tcW w:w="1238"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N/A</w:t>
            </w:r>
          </w:p>
        </w:tc>
      </w:tr>
      <w:tr w:rsidR="00D06035" w:rsidRPr="004739E7" w:rsidTr="00424C04">
        <w:tc>
          <w:tcPr>
            <w:tcW w:w="15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Press Conference</w:t>
            </w:r>
          </w:p>
        </w:tc>
        <w:tc>
          <w:tcPr>
            <w:tcW w:w="14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Once</w:t>
            </w:r>
          </w:p>
        </w:tc>
        <w:tc>
          <w:tcPr>
            <w:tcW w:w="1622"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Event</w:t>
            </w:r>
          </w:p>
        </w:tc>
        <w:tc>
          <w:tcPr>
            <w:tcW w:w="1673"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All</w:t>
            </w:r>
          </w:p>
        </w:tc>
        <w:tc>
          <w:tcPr>
            <w:tcW w:w="995"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5</w:t>
            </w:r>
          </w:p>
        </w:tc>
        <w:tc>
          <w:tcPr>
            <w:tcW w:w="1238"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€500</w:t>
            </w:r>
          </w:p>
        </w:tc>
      </w:tr>
      <w:tr w:rsidR="00D06035" w:rsidRPr="004739E7" w:rsidTr="00424C04">
        <w:tc>
          <w:tcPr>
            <w:tcW w:w="15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lastRenderedPageBreak/>
              <w:t>Final Conference</w:t>
            </w:r>
          </w:p>
        </w:tc>
        <w:tc>
          <w:tcPr>
            <w:tcW w:w="14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Once</w:t>
            </w:r>
          </w:p>
        </w:tc>
        <w:tc>
          <w:tcPr>
            <w:tcW w:w="1622"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Event</w:t>
            </w:r>
          </w:p>
        </w:tc>
        <w:tc>
          <w:tcPr>
            <w:tcW w:w="1673"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All</w:t>
            </w:r>
          </w:p>
        </w:tc>
        <w:tc>
          <w:tcPr>
            <w:tcW w:w="995"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1,2,3,5</w:t>
            </w:r>
          </w:p>
        </w:tc>
        <w:tc>
          <w:tcPr>
            <w:tcW w:w="1238"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€10,000</w:t>
            </w:r>
          </w:p>
        </w:tc>
      </w:tr>
      <w:tr w:rsidR="00D06035" w:rsidRPr="004739E7" w:rsidTr="00424C04">
        <w:tc>
          <w:tcPr>
            <w:tcW w:w="15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Layman’s report</w:t>
            </w:r>
          </w:p>
        </w:tc>
        <w:tc>
          <w:tcPr>
            <w:tcW w:w="14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Once</w:t>
            </w:r>
          </w:p>
        </w:tc>
        <w:tc>
          <w:tcPr>
            <w:tcW w:w="1622"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Print/Electronic</w:t>
            </w:r>
          </w:p>
        </w:tc>
        <w:tc>
          <w:tcPr>
            <w:tcW w:w="1673"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Secretariat/Task Managers</w:t>
            </w:r>
          </w:p>
        </w:tc>
        <w:tc>
          <w:tcPr>
            <w:tcW w:w="995"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4,5</w:t>
            </w:r>
          </w:p>
        </w:tc>
        <w:tc>
          <w:tcPr>
            <w:tcW w:w="1238"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€1000</w:t>
            </w:r>
          </w:p>
        </w:tc>
      </w:tr>
      <w:tr w:rsidR="00D06035" w:rsidRPr="004739E7" w:rsidTr="00424C04">
        <w:tc>
          <w:tcPr>
            <w:tcW w:w="15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Final Report</w:t>
            </w:r>
          </w:p>
        </w:tc>
        <w:tc>
          <w:tcPr>
            <w:tcW w:w="1447"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Once</w:t>
            </w:r>
          </w:p>
        </w:tc>
        <w:tc>
          <w:tcPr>
            <w:tcW w:w="1622"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Print/Electronic</w:t>
            </w:r>
          </w:p>
        </w:tc>
        <w:tc>
          <w:tcPr>
            <w:tcW w:w="1673" w:type="dxa"/>
          </w:tcPr>
          <w:p w:rsidR="00D06035" w:rsidRPr="004739E7" w:rsidRDefault="00D06035" w:rsidP="00424C04">
            <w:pPr>
              <w:pStyle w:val="ListParagraph"/>
              <w:spacing w:after="0" w:line="240" w:lineRule="auto"/>
              <w:ind w:left="0"/>
              <w:rPr>
                <w:rFonts w:ascii="Arial" w:hAnsi="Arial" w:cs="Arial"/>
                <w:sz w:val="20"/>
                <w:szCs w:val="20"/>
              </w:rPr>
            </w:pPr>
          </w:p>
        </w:tc>
        <w:tc>
          <w:tcPr>
            <w:tcW w:w="995"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1,2,3</w:t>
            </w:r>
          </w:p>
        </w:tc>
        <w:tc>
          <w:tcPr>
            <w:tcW w:w="1238" w:type="dxa"/>
          </w:tcPr>
          <w:p w:rsidR="00D06035" w:rsidRPr="004739E7" w:rsidRDefault="00D06035" w:rsidP="00424C04">
            <w:pPr>
              <w:pStyle w:val="ListParagraph"/>
              <w:spacing w:after="0" w:line="240" w:lineRule="auto"/>
              <w:ind w:left="0"/>
              <w:rPr>
                <w:rFonts w:ascii="Arial" w:hAnsi="Arial" w:cs="Arial"/>
                <w:sz w:val="20"/>
                <w:szCs w:val="20"/>
              </w:rPr>
            </w:pPr>
            <w:r w:rsidRPr="004739E7">
              <w:rPr>
                <w:rFonts w:ascii="Arial" w:hAnsi="Arial" w:cs="Arial"/>
                <w:sz w:val="20"/>
                <w:szCs w:val="20"/>
              </w:rPr>
              <w:t>€3000</w:t>
            </w:r>
          </w:p>
        </w:tc>
      </w:tr>
    </w:tbl>
    <w:p w:rsidR="008F0A51" w:rsidRDefault="008F0A51"/>
    <w:sectPr w:rsidR="008F0A51" w:rsidSect="00424C04">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361" w:rsidRDefault="00FD633F">
      <w:pPr>
        <w:spacing w:after="0" w:line="240" w:lineRule="auto"/>
      </w:pPr>
      <w:r>
        <w:separator/>
      </w:r>
    </w:p>
  </w:endnote>
  <w:endnote w:type="continuationSeparator" w:id="0">
    <w:p w:rsidR="00061361" w:rsidRDefault="00FD6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A50" w:rsidRDefault="00F43A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361" w:rsidRDefault="00FD633F">
      <w:pPr>
        <w:spacing w:after="0" w:line="240" w:lineRule="auto"/>
      </w:pPr>
      <w:r>
        <w:separator/>
      </w:r>
    </w:p>
  </w:footnote>
  <w:footnote w:type="continuationSeparator" w:id="0">
    <w:p w:rsidR="00061361" w:rsidRDefault="00FD63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04" w:rsidRDefault="00424C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04" w:rsidRPr="007F4D84" w:rsidRDefault="00424C04" w:rsidP="00424C04">
    <w:pPr>
      <w:pStyle w:val="Header"/>
      <w:jc w:val="right"/>
      <w:rPr>
        <w:b/>
        <w:sz w:val="28"/>
        <w:szCs w:val="28"/>
        <w:lang w:val="fr-B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C04" w:rsidRDefault="00424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13F8"/>
    <w:multiLevelType w:val="hybridMultilevel"/>
    <w:tmpl w:val="49386F4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36CF55B6"/>
    <w:multiLevelType w:val="hybridMultilevel"/>
    <w:tmpl w:val="12C213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5D7FBA"/>
    <w:multiLevelType w:val="hybridMultilevel"/>
    <w:tmpl w:val="21F635C0"/>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E80224"/>
    <w:multiLevelType w:val="hybridMultilevel"/>
    <w:tmpl w:val="C2108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C60B90"/>
    <w:multiLevelType w:val="hybridMultilevel"/>
    <w:tmpl w:val="2462307C"/>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5FD13199"/>
    <w:multiLevelType w:val="hybridMultilevel"/>
    <w:tmpl w:val="F30476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35"/>
    <w:rsid w:val="00004764"/>
    <w:rsid w:val="00061361"/>
    <w:rsid w:val="00424C04"/>
    <w:rsid w:val="006A0DDE"/>
    <w:rsid w:val="008F0A51"/>
    <w:rsid w:val="00952085"/>
    <w:rsid w:val="00BF1D7D"/>
    <w:rsid w:val="00CB0671"/>
    <w:rsid w:val="00D06035"/>
    <w:rsid w:val="00EB62D0"/>
    <w:rsid w:val="00F43A50"/>
    <w:rsid w:val="00F630C3"/>
    <w:rsid w:val="00FA43B5"/>
    <w:rsid w:val="00FD6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06035"/>
    <w:pPr>
      <w:ind w:left="720"/>
      <w:contextualSpacing/>
    </w:pPr>
  </w:style>
  <w:style w:type="paragraph" w:styleId="BalloonText">
    <w:name w:val="Balloon Text"/>
    <w:basedOn w:val="Normal"/>
    <w:link w:val="BalloonTextChar"/>
    <w:uiPriority w:val="99"/>
    <w:semiHidden/>
    <w:unhideWhenUsed/>
    <w:rsid w:val="00D06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035"/>
    <w:rPr>
      <w:rFonts w:ascii="Tahoma" w:eastAsia="Calibri" w:hAnsi="Tahoma" w:cs="Tahoma"/>
      <w:sz w:val="16"/>
      <w:szCs w:val="16"/>
    </w:rPr>
  </w:style>
  <w:style w:type="paragraph" w:styleId="Header">
    <w:name w:val="header"/>
    <w:basedOn w:val="Normal"/>
    <w:link w:val="HeaderChar"/>
    <w:uiPriority w:val="99"/>
    <w:rsid w:val="00F630C3"/>
    <w:pPr>
      <w:tabs>
        <w:tab w:val="center" w:pos="4153"/>
        <w:tab w:val="right" w:pos="8306"/>
      </w:tabs>
      <w:spacing w:after="0" w:line="240" w:lineRule="auto"/>
    </w:pPr>
    <w:rPr>
      <w:rFonts w:ascii="Arial" w:eastAsia="Times New Roman" w:hAnsi="Arial"/>
      <w:szCs w:val="20"/>
      <w:lang w:val="x-none" w:eastAsia="x-none"/>
    </w:rPr>
  </w:style>
  <w:style w:type="character" w:customStyle="1" w:styleId="HeaderChar">
    <w:name w:val="Header Char"/>
    <w:basedOn w:val="DefaultParagraphFont"/>
    <w:link w:val="Header"/>
    <w:uiPriority w:val="99"/>
    <w:rsid w:val="00F630C3"/>
    <w:rPr>
      <w:rFonts w:ascii="Arial" w:eastAsia="Times New Roman" w:hAnsi="Arial" w:cs="Times New Roman"/>
      <w:szCs w:val="20"/>
      <w:lang w:val="x-none" w:eastAsia="x-none"/>
    </w:rPr>
  </w:style>
  <w:style w:type="paragraph" w:styleId="Footer">
    <w:name w:val="footer"/>
    <w:basedOn w:val="Normal"/>
    <w:link w:val="FooterChar"/>
    <w:rsid w:val="00F630C3"/>
    <w:pPr>
      <w:tabs>
        <w:tab w:val="center" w:pos="4153"/>
        <w:tab w:val="right" w:pos="8306"/>
      </w:tabs>
      <w:spacing w:after="0" w:line="240" w:lineRule="auto"/>
    </w:pPr>
    <w:rPr>
      <w:rFonts w:ascii="Arial" w:eastAsia="Times New Roman" w:hAnsi="Arial"/>
      <w:szCs w:val="20"/>
      <w:lang w:val="x-none" w:eastAsia="x-none"/>
    </w:rPr>
  </w:style>
  <w:style w:type="character" w:customStyle="1" w:styleId="FooterChar">
    <w:name w:val="Footer Char"/>
    <w:basedOn w:val="DefaultParagraphFont"/>
    <w:link w:val="Footer"/>
    <w:rsid w:val="00F630C3"/>
    <w:rPr>
      <w:rFonts w:ascii="Arial" w:eastAsia="Times New Roman" w:hAnsi="Arial" w:cs="Times New Roman"/>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0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06035"/>
    <w:pPr>
      <w:ind w:left="720"/>
      <w:contextualSpacing/>
    </w:pPr>
  </w:style>
  <w:style w:type="paragraph" w:styleId="BalloonText">
    <w:name w:val="Balloon Text"/>
    <w:basedOn w:val="Normal"/>
    <w:link w:val="BalloonTextChar"/>
    <w:uiPriority w:val="99"/>
    <w:semiHidden/>
    <w:unhideWhenUsed/>
    <w:rsid w:val="00D06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035"/>
    <w:rPr>
      <w:rFonts w:ascii="Tahoma" w:eastAsia="Calibri" w:hAnsi="Tahoma" w:cs="Tahoma"/>
      <w:sz w:val="16"/>
      <w:szCs w:val="16"/>
    </w:rPr>
  </w:style>
  <w:style w:type="paragraph" w:styleId="Header">
    <w:name w:val="header"/>
    <w:basedOn w:val="Normal"/>
    <w:link w:val="HeaderChar"/>
    <w:uiPriority w:val="99"/>
    <w:rsid w:val="00F630C3"/>
    <w:pPr>
      <w:tabs>
        <w:tab w:val="center" w:pos="4153"/>
        <w:tab w:val="right" w:pos="8306"/>
      </w:tabs>
      <w:spacing w:after="0" w:line="240" w:lineRule="auto"/>
    </w:pPr>
    <w:rPr>
      <w:rFonts w:ascii="Arial" w:eastAsia="Times New Roman" w:hAnsi="Arial"/>
      <w:szCs w:val="20"/>
      <w:lang w:val="x-none" w:eastAsia="x-none"/>
    </w:rPr>
  </w:style>
  <w:style w:type="character" w:customStyle="1" w:styleId="HeaderChar">
    <w:name w:val="Header Char"/>
    <w:basedOn w:val="DefaultParagraphFont"/>
    <w:link w:val="Header"/>
    <w:uiPriority w:val="99"/>
    <w:rsid w:val="00F630C3"/>
    <w:rPr>
      <w:rFonts w:ascii="Arial" w:eastAsia="Times New Roman" w:hAnsi="Arial" w:cs="Times New Roman"/>
      <w:szCs w:val="20"/>
      <w:lang w:val="x-none" w:eastAsia="x-none"/>
    </w:rPr>
  </w:style>
  <w:style w:type="paragraph" w:styleId="Footer">
    <w:name w:val="footer"/>
    <w:basedOn w:val="Normal"/>
    <w:link w:val="FooterChar"/>
    <w:rsid w:val="00F630C3"/>
    <w:pPr>
      <w:tabs>
        <w:tab w:val="center" w:pos="4153"/>
        <w:tab w:val="right" w:pos="8306"/>
      </w:tabs>
      <w:spacing w:after="0" w:line="240" w:lineRule="auto"/>
    </w:pPr>
    <w:rPr>
      <w:rFonts w:ascii="Arial" w:eastAsia="Times New Roman" w:hAnsi="Arial"/>
      <w:szCs w:val="20"/>
      <w:lang w:val="x-none" w:eastAsia="x-none"/>
    </w:rPr>
  </w:style>
  <w:style w:type="character" w:customStyle="1" w:styleId="FooterChar">
    <w:name w:val="Footer Char"/>
    <w:basedOn w:val="DefaultParagraphFont"/>
    <w:link w:val="Footer"/>
    <w:rsid w:val="00F630C3"/>
    <w:rPr>
      <w:rFonts w:ascii="Arial" w:eastAsia="Times New Roman" w:hAnsi="Arial"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05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Ritchie</dc:creator>
  <cp:lastModifiedBy>John Mouat</cp:lastModifiedBy>
  <cp:revision>2</cp:revision>
  <dcterms:created xsi:type="dcterms:W3CDTF">2014-08-11T17:10:00Z</dcterms:created>
  <dcterms:modified xsi:type="dcterms:W3CDTF">2014-08-11T17:10:00Z</dcterms:modified>
</cp:coreProperties>
</file>