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top w:w="85" w:type="dxa"/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2E02EF" w:rsidRPr="00A75539" w14:paraId="1C59EBF2" w14:textId="77777777" w:rsidTr="00260408">
        <w:trPr>
          <w:trHeight w:val="472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78E0EE" w14:textId="56B7D4CB" w:rsidR="002E02EF" w:rsidRPr="00354250" w:rsidRDefault="002E02EF" w:rsidP="00AB4390">
            <w:pPr>
              <w:pStyle w:val="Title"/>
              <w:spacing w:before="120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bookmarkStart w:id="0" w:name="_Hlk98504731"/>
          </w:p>
        </w:tc>
      </w:tr>
    </w:tbl>
    <w:bookmarkEnd w:id="0"/>
    <w:p w14:paraId="5BAEFA09" w14:textId="77777777" w:rsidR="00AC148A" w:rsidRPr="00AC148A" w:rsidRDefault="00AC148A" w:rsidP="00AC148A">
      <w:pPr>
        <w:tabs>
          <w:tab w:val="left" w:pos="1134"/>
          <w:tab w:val="left" w:pos="1701"/>
          <w:tab w:val="left" w:pos="2268"/>
        </w:tabs>
        <w:spacing w:before="240" w:after="0" w:line="240" w:lineRule="auto"/>
        <w:ind w:right="74"/>
        <w:jc w:val="both"/>
        <w:rPr>
          <w:rFonts w:ascii="Calibri" w:eastAsia="Times New Roman" w:hAnsi="Calibri" w:cs="Calibri"/>
          <w:sz w:val="40"/>
          <w:szCs w:val="40"/>
          <w:lang w:val="en-GB" w:eastAsia="en-GB"/>
        </w:rPr>
      </w:pPr>
      <w:r w:rsidRPr="00AC148A">
        <w:rPr>
          <w:rFonts w:ascii="Calibri" w:eastAsia="Times New Roman" w:hAnsi="Calibri" w:cs="Calibri"/>
          <w:sz w:val="40"/>
          <w:szCs w:val="40"/>
          <w:lang w:val="en-GB" w:eastAsia="en-GB"/>
        </w:rPr>
        <w:t>Terms of Reference for a Working Group on strategic and operational aspects related to MARPOL Annex VI monitoring activities (MAVI-SOWG)</w:t>
      </w:r>
    </w:p>
    <w:p w14:paraId="62BB118B" w14:textId="77777777" w:rsidR="00AC148A" w:rsidRPr="00AC148A" w:rsidRDefault="00AC148A" w:rsidP="00AC148A">
      <w:pPr>
        <w:tabs>
          <w:tab w:val="left" w:pos="1134"/>
          <w:tab w:val="left" w:pos="1701"/>
          <w:tab w:val="left" w:pos="2268"/>
        </w:tabs>
        <w:spacing w:after="0" w:line="240" w:lineRule="auto"/>
        <w:ind w:right="72"/>
        <w:jc w:val="both"/>
        <w:rPr>
          <w:rFonts w:ascii="Calibri" w:eastAsia="Times New Roman" w:hAnsi="Calibri" w:cs="Calibri"/>
          <w:b/>
          <w:sz w:val="22"/>
          <w:lang w:val="en-GB" w:eastAsia="en-GB"/>
        </w:rPr>
      </w:pPr>
    </w:p>
    <w:p w14:paraId="3D9CFF60" w14:textId="77777777" w:rsidR="00AC148A" w:rsidRPr="00AC148A" w:rsidRDefault="00AC148A" w:rsidP="00AC148A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Calibri" w:eastAsia="Times New Roman" w:hAnsi="Calibri" w:cs="Calibri"/>
          <w:b/>
          <w:sz w:val="22"/>
          <w:lang w:val="en-GB" w:eastAsia="en-GB"/>
        </w:rPr>
      </w:pPr>
      <w:r w:rsidRPr="00AC148A">
        <w:rPr>
          <w:rFonts w:ascii="Calibri" w:eastAsia="Times New Roman" w:hAnsi="Calibri" w:cs="Calibri"/>
          <w:b/>
          <w:sz w:val="22"/>
          <w:lang w:val="en-GB" w:eastAsia="en-GB"/>
        </w:rPr>
        <w:t>Background</w:t>
      </w:r>
    </w:p>
    <w:p w14:paraId="4AFDE5B5" w14:textId="77777777" w:rsidR="00AC148A" w:rsidRPr="00AC148A" w:rsidRDefault="00AC148A" w:rsidP="00AC148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The </w:t>
      </w:r>
      <w:r w:rsidRPr="00AC148A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MARPOL Annex VI Experts Workshop 2021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(</w:t>
      </w:r>
      <w:r w:rsidRPr="00AC148A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MAVIEWS 21) 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was held on 2 – 5 February 2021 to develop a common strategy and operational procedures on MARPOL Annex VI monitoring activities in the Bonn Agreement area. The Workshop concluded on a set of recommendations to be further explored through two working groups (WG) dealing with (1) strategic and operational aspects (MAVI-SOWG) and (2) technical aspects (MAVI-TWG) under the umbrella of OTSOPA. </w:t>
      </w:r>
    </w:p>
    <w:p w14:paraId="096236CF" w14:textId="77777777" w:rsidR="00AC148A" w:rsidRPr="00AC148A" w:rsidRDefault="00AC148A" w:rsidP="00AC148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As a follow up of the Workshop, Contracting Parties </w:t>
      </w:r>
      <w:r w:rsidRPr="00AC148A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were invited to submit the national representatives of the WGs and the 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Co-convenors made a first attempt to subdivide the MAVIEWS 21 recommendations for both WG into a subset of actions that, on the one hand, are quick wins and in-kind actions (mainly on info exchange, regular tasks and national operations) that would require limited additional effort, and, on the other hand, actions that would need more resources and therefore a project with external funding. </w:t>
      </w:r>
    </w:p>
    <w:p w14:paraId="17DD65D0" w14:textId="77777777" w:rsidR="00AC148A" w:rsidRPr="00AC148A" w:rsidRDefault="00AC148A" w:rsidP="00AC148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BONN 2021 agreed on the Terms of Reference (</w:t>
      </w:r>
      <w:proofErr w:type="spellStart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ToR</w:t>
      </w:r>
      <w:proofErr w:type="spellEnd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) of a WG on strategic and operational aspects related to MARPOL Annex VI monitoring activities (MAVI-SOWG) </w:t>
      </w:r>
      <w:r w:rsidRPr="00AC148A">
        <w:rPr>
          <w:rFonts w:ascii="Calibri" w:eastAsia="Times New Roman" w:hAnsi="Calibri" w:cs="Calibri"/>
          <w:sz w:val="22"/>
          <w:lang w:val="en-GB" w:eastAsia="en-GB"/>
        </w:rPr>
        <w:t xml:space="preserve">as in Annex 7 of BONN 2021 Summary Record. OTSOPA 2022 decided to update the </w:t>
      </w:r>
      <w:proofErr w:type="spellStart"/>
      <w:r w:rsidRPr="00AC148A">
        <w:rPr>
          <w:rFonts w:ascii="Calibri" w:eastAsia="Times New Roman" w:hAnsi="Calibri" w:cs="Calibri"/>
          <w:sz w:val="22"/>
          <w:lang w:val="en-GB" w:eastAsia="en-GB"/>
        </w:rPr>
        <w:t>ToR</w:t>
      </w:r>
      <w:proofErr w:type="spellEnd"/>
      <w:r w:rsidRPr="00AC148A">
        <w:rPr>
          <w:rFonts w:ascii="Calibri" w:eastAsia="Times New Roman" w:hAnsi="Calibri" w:cs="Calibri"/>
          <w:sz w:val="22"/>
          <w:lang w:val="en-GB" w:eastAsia="en-GB"/>
        </w:rPr>
        <w:t xml:space="preserve"> to reflect a </w:t>
      </w:r>
      <w:r w:rsidRPr="00AC148A">
        <w:rPr>
          <w:rFonts w:ascii="Calibri" w:eastAsia="Calibri" w:hAnsi="Calibri" w:cs="Calibri"/>
          <w:color w:val="000000"/>
          <w:sz w:val="22"/>
          <w:lang w:val="en-GB" w:eastAsia="en-GB"/>
        </w:rPr>
        <w:t>tiered approach: the working groups would be activated focusing on the quick -wins first and, in a later stage, the project proposal could be submitted.</w:t>
      </w:r>
    </w:p>
    <w:p w14:paraId="2397A266" w14:textId="77777777" w:rsidR="00AC148A" w:rsidRPr="00AC148A" w:rsidRDefault="00AC148A" w:rsidP="00AC148A">
      <w:pPr>
        <w:tabs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r w:rsidRPr="00AC148A">
        <w:rPr>
          <w:rFonts w:ascii="Calibri" w:eastAsia="Times New Roman" w:hAnsi="Calibri" w:cs="Calibri"/>
          <w:b/>
          <w:sz w:val="22"/>
          <w:szCs w:val="20"/>
          <w:lang w:val="en-GB" w:eastAsia="en-GB"/>
        </w:rPr>
        <w:t>Objective</w:t>
      </w:r>
    </w:p>
    <w:p w14:paraId="0B3DE1A0" w14:textId="77777777" w:rsidR="00AC148A" w:rsidRPr="00AC148A" w:rsidRDefault="00AC148A" w:rsidP="00AC148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To address the </w:t>
      </w:r>
      <w:r w:rsidRPr="00AC148A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quick wins or in-kind actions on 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strategic and operational aspects related to MARPOL Annex VI monitoring activities in the Bonn Agreement area</w:t>
      </w:r>
      <w:r w:rsidRPr="00AC148A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 listed under </w:t>
      </w:r>
      <w:r w:rsidRPr="00AC148A">
        <w:rPr>
          <w:rFonts w:ascii="Calibri" w:eastAsia="Times New Roman" w:hAnsi="Calibri" w:cs="Calibri"/>
          <w:color w:val="000000"/>
          <w:sz w:val="22"/>
          <w:szCs w:val="20"/>
          <w:lang w:val="en-GB" w:eastAsia="en-GB"/>
        </w:rPr>
        <w:t>§</w:t>
      </w:r>
      <w:r w:rsidRPr="00AC148A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9, distributing the workload among the Contracting Parties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.</w:t>
      </w:r>
    </w:p>
    <w:p w14:paraId="60055DF0" w14:textId="410229E3" w:rsidR="00AC148A" w:rsidRPr="00F10C9F" w:rsidRDefault="00AC148A" w:rsidP="00AC148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AC148A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To liaise with MAVI-TWG to address those recommended actions which are both a strategic/operational, and a technical question or challenge (e.g. use of a threshold; standardised reporting; intercomparison and validation efforts, etc.), and imply some degree of coordination.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</w:t>
      </w:r>
    </w:p>
    <w:p w14:paraId="48F19D79" w14:textId="45504F35" w:rsidR="00AC148A" w:rsidRPr="00B8513B" w:rsidRDefault="00AC148A" w:rsidP="00B8513B">
      <w:pPr>
        <w:tabs>
          <w:tab w:val="left" w:pos="567"/>
        </w:tabs>
        <w:spacing w:before="120" w:after="0" w:line="280" w:lineRule="atLeast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B8513B">
        <w:rPr>
          <w:rFonts w:ascii="Calibri" w:eastAsia="Times New Roman" w:hAnsi="Calibri" w:cs="Calibri"/>
          <w:sz w:val="22"/>
          <w:szCs w:val="20"/>
          <w:lang w:val="en-GB" w:eastAsia="en-GB"/>
        </w:rPr>
        <w:t>5bis</w:t>
      </w:r>
      <w:r w:rsidRPr="00B8513B">
        <w:rPr>
          <w:rFonts w:ascii="Calibri" w:eastAsia="Times New Roman" w:hAnsi="Calibri" w:cs="Times New Roman"/>
          <w:sz w:val="22"/>
          <w:szCs w:val="20"/>
          <w:lang w:val="en-GB" w:eastAsia="en-GB"/>
        </w:rPr>
        <w:tab/>
      </w:r>
      <w:r w:rsidRPr="00B8513B">
        <w:rPr>
          <w:rFonts w:ascii="Calibri" w:eastAsia="Times New Roman" w:hAnsi="Calibri" w:cs="Times New Roman"/>
          <w:sz w:val="22"/>
          <w:szCs w:val="20"/>
          <w:lang w:eastAsia="en-GB"/>
        </w:rPr>
        <w:t>To support, when appropriate, the potential project coordinator in delivering the actions which might require external funding</w:t>
      </w:r>
      <w:r w:rsidRPr="00B8513B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.</w:t>
      </w:r>
    </w:p>
    <w:p w14:paraId="78330A43" w14:textId="77777777" w:rsidR="00AC148A" w:rsidRPr="00AC148A" w:rsidRDefault="00AC148A" w:rsidP="00354250">
      <w:pPr>
        <w:keepNext/>
        <w:tabs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r w:rsidRPr="00AC148A">
        <w:rPr>
          <w:rFonts w:ascii="Calibri" w:eastAsia="Times New Roman" w:hAnsi="Calibri" w:cs="Calibri"/>
          <w:b/>
          <w:sz w:val="22"/>
          <w:szCs w:val="20"/>
          <w:lang w:val="en-GB" w:eastAsia="en-GB"/>
        </w:rPr>
        <w:t>Participants</w:t>
      </w:r>
    </w:p>
    <w:p w14:paraId="591DAE57" w14:textId="38E0D1B8" w:rsidR="00AC148A" w:rsidRPr="00AC148A" w:rsidRDefault="00AC148A" w:rsidP="00AC148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The </w:t>
      </w:r>
      <w:r w:rsidR="00DC6821">
        <w:rPr>
          <w:rFonts w:ascii="Calibri" w:eastAsia="Times New Roman" w:hAnsi="Calibri" w:cs="Times New Roman"/>
          <w:sz w:val="22"/>
          <w:szCs w:val="20"/>
          <w:lang w:eastAsia="en-GB"/>
        </w:rPr>
        <w:t>WG</w:t>
      </w:r>
      <w:r w:rsidR="00DC6821"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will be co-convened by </w:t>
      </w:r>
      <w:r w:rsidRPr="00AC148A">
        <w:rPr>
          <w:rFonts w:ascii="Calibri" w:eastAsia="Times New Roman" w:hAnsi="Calibri" w:cs="Calibri"/>
          <w:sz w:val="22"/>
          <w:lang w:eastAsia="en-GB"/>
        </w:rPr>
        <w:t>Hervé Metayer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from France and </w:t>
      </w:r>
      <w:r w:rsidRPr="00AC148A">
        <w:rPr>
          <w:rFonts w:ascii="Calibri" w:eastAsia="Times New Roman" w:hAnsi="Calibri" w:cs="Calibri"/>
          <w:sz w:val="22"/>
          <w:lang w:eastAsia="en-GB"/>
        </w:rPr>
        <w:t>Astrid Driesprong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from the Netherlands, with </w:t>
      </w:r>
      <w:r w:rsidR="000068F7">
        <w:rPr>
          <w:rFonts w:ascii="Calibri" w:eastAsia="Times New Roman" w:hAnsi="Calibri" w:cs="Times New Roman"/>
          <w:sz w:val="22"/>
          <w:szCs w:val="20"/>
          <w:lang w:eastAsia="en-GB"/>
        </w:rPr>
        <w:t xml:space="preserve">an active 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participation </w:t>
      </w:r>
      <w:r w:rsidR="000068F7">
        <w:rPr>
          <w:rFonts w:ascii="Calibri" w:eastAsia="Times New Roman" w:hAnsi="Calibri" w:cs="Times New Roman"/>
          <w:sz w:val="22"/>
          <w:szCs w:val="20"/>
          <w:lang w:eastAsia="en-GB"/>
        </w:rPr>
        <w:t>of</w:t>
      </w:r>
      <w:r w:rsidR="000068F7"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</w:t>
      </w:r>
      <w:r w:rsidR="008E5F89" w:rsidRPr="00AC148A">
        <w:rPr>
          <w:rFonts w:ascii="Calibri" w:eastAsia="Times New Roman" w:hAnsi="Calibri" w:cs="Times New Roman"/>
          <w:sz w:val="22"/>
          <w:szCs w:val="20"/>
          <w:lang w:eastAsia="en-GB"/>
        </w:rPr>
        <w:t>all Contracting Parties</w:t>
      </w:r>
      <w:r w:rsidR="000068F7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to the WG meetings. In addition,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the co-convenors of the MAVI</w:t>
      </w:r>
      <w:r w:rsidRPr="00AC148A">
        <w:rPr>
          <w:rFonts w:ascii="Calibri" w:eastAsia="Times New Roman" w:hAnsi="Calibri" w:cs="Times New Roman"/>
          <w:sz w:val="22"/>
          <w:szCs w:val="20"/>
          <w:lang w:val="en-GB" w:eastAsia="en-GB"/>
        </w:rPr>
        <w:t>-T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WG and representatives from the North Sea Network of Investigators and Prosecutors</w:t>
      </w:r>
      <w:r w:rsidR="000068F7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are invited to join the meetings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. </w:t>
      </w:r>
      <w:bookmarkStart w:id="1" w:name="_Hlk137046540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Experts can also participate in the WG if requested by Contracting Parties with a justification (BONN 22/12/1 Annex 6).</w:t>
      </w:r>
      <w:bookmarkEnd w:id="1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</w:t>
      </w:r>
    </w:p>
    <w:p w14:paraId="62B61F23" w14:textId="77777777" w:rsidR="00AC148A" w:rsidRPr="00AC148A" w:rsidRDefault="00AC148A" w:rsidP="00AC148A">
      <w:pPr>
        <w:keepNext/>
        <w:tabs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r w:rsidRPr="00AC148A">
        <w:rPr>
          <w:rFonts w:ascii="Calibri" w:eastAsia="Times New Roman" w:hAnsi="Calibri" w:cs="Calibri"/>
          <w:b/>
          <w:sz w:val="22"/>
          <w:szCs w:val="20"/>
          <w:lang w:val="en-GB" w:eastAsia="en-GB"/>
        </w:rPr>
        <w:t>Work arrangements</w:t>
      </w:r>
    </w:p>
    <w:p w14:paraId="7FD57241" w14:textId="77777777" w:rsidR="00AC148A" w:rsidRPr="00AC148A" w:rsidRDefault="00AC148A" w:rsidP="00AC148A">
      <w:pPr>
        <w:keepNext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The WG will work via correspondence and hold the following meetings:</w:t>
      </w:r>
    </w:p>
    <w:p w14:paraId="3A8D2113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online WG meetings;</w:t>
      </w:r>
    </w:p>
    <w:p w14:paraId="533A9A50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lastRenderedPageBreak/>
        <w:t>an annual physical inter WG meeting (e.g. prior or back to back to OTSOPA</w:t>
      </w:r>
      <w:r w:rsidRPr="00AC148A">
        <w:rPr>
          <w:rFonts w:ascii="Calibri" w:eastAsia="Times New Roman" w:hAnsi="Calibri" w:cs="Times New Roman"/>
          <w:sz w:val="22"/>
          <w:szCs w:val="20"/>
          <w:lang w:val="en-GB" w:eastAsia="en-GB"/>
        </w:rPr>
        <w:t>); and</w:t>
      </w:r>
    </w:p>
    <w:p w14:paraId="29843738" w14:textId="43DCA50E" w:rsidR="00AC148A" w:rsidRPr="00A75539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semestral</w:t>
      </w:r>
      <w:r w:rsidRPr="00A75539">
        <w:rPr>
          <w:rFonts w:asciiTheme="minorHAnsi" w:hAnsiTheme="minorHAnsi" w:cstheme="minorHAnsi"/>
          <w:color w:val="000000"/>
          <w:sz w:val="22"/>
        </w:rPr>
        <w:t xml:space="preserve"> meetings between the OTSOPA Chair and WG leaders. </w:t>
      </w:r>
    </w:p>
    <w:p w14:paraId="24BF8253" w14:textId="77777777" w:rsidR="00AC148A" w:rsidRPr="00AC148A" w:rsidRDefault="00AC148A" w:rsidP="00AC148A">
      <w:pPr>
        <w:keepNext/>
        <w:tabs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r w:rsidRPr="00AC148A">
        <w:rPr>
          <w:rFonts w:ascii="Calibri" w:eastAsia="Times New Roman" w:hAnsi="Calibri" w:cs="Calibri"/>
          <w:b/>
          <w:sz w:val="22"/>
          <w:szCs w:val="20"/>
          <w:lang w:val="en-GB" w:eastAsia="en-GB"/>
        </w:rPr>
        <w:t>Quick wins and in-kind actions</w:t>
      </w:r>
    </w:p>
    <w:p w14:paraId="61F78051" w14:textId="77777777" w:rsidR="00AC148A" w:rsidRPr="00AC148A" w:rsidRDefault="00AC148A" w:rsidP="00AC148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Calibri"/>
          <w:sz w:val="22"/>
          <w:szCs w:val="20"/>
          <w:lang w:val="en-GB" w:eastAsia="en-GB"/>
        </w:rPr>
        <w:t>The WG will address the following Quick wins and in-kind actions:</w:t>
      </w:r>
    </w:p>
    <w:p w14:paraId="6F029F48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proofErr w:type="spellStart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Organise</w:t>
      </w:r>
      <w:proofErr w:type="spellEnd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joint offshore sub-regional surveillance programs building on existing capacities and sharing assets and costs with </w:t>
      </w:r>
      <w:proofErr w:type="spellStart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neighbours</w:t>
      </w:r>
      <w:proofErr w:type="spellEnd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. Consider a scaled approach: </w:t>
      </w:r>
      <w:r w:rsidRPr="00AC148A">
        <w:rPr>
          <w:rFonts w:ascii="Calibri" w:eastAsia="Times New Roman" w:hAnsi="Calibri" w:cs="Times New Roman"/>
          <w:b/>
          <w:bCs/>
          <w:sz w:val="22"/>
          <w:szCs w:val="20"/>
          <w:lang w:eastAsia="en-GB"/>
        </w:rPr>
        <w:t>national programs and sub-regional coordination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→ Sub-regional \ regional programs→ inter-regional level. National Programs and sub-regional coordination can be considered as in-kind actions. </w:t>
      </w:r>
    </w:p>
    <w:p w14:paraId="52A570A9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Develop a surveillance strategy building on existing national expertise, experience and knowledge from countries with a well-established policy.</w:t>
      </w:r>
    </w:p>
    <w:p w14:paraId="2FDFE5A0" w14:textId="77777777" w:rsidR="00AC148A" w:rsidRPr="00AC148A" w:rsidRDefault="00AC148A" w:rsidP="00AC148A">
      <w:pPr>
        <w:numPr>
          <w:ilvl w:val="2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val="en-GB" w:eastAsia="en-GB"/>
        </w:rPr>
        <w:t>Use the fully available toolbox for emission control provided by CPs and EMSA including airborne-, ship- and land-based systems.</w:t>
      </w:r>
    </w:p>
    <w:p w14:paraId="3B7909FC" w14:textId="77777777" w:rsidR="00AC148A" w:rsidRPr="00AC148A" w:rsidRDefault="00AC148A" w:rsidP="00AC148A">
      <w:pPr>
        <w:numPr>
          <w:ilvl w:val="2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Promote remote measurements at sea in the BA area, looking for synergies between different assets: </w:t>
      </w:r>
    </w:p>
    <w:p w14:paraId="2D80E0BD" w14:textId="77777777" w:rsidR="00AC148A" w:rsidRPr="00AC148A" w:rsidRDefault="00AC148A" w:rsidP="00AC148A">
      <w:pPr>
        <w:numPr>
          <w:ilvl w:val="3"/>
          <w:numId w:val="23"/>
        </w:numPr>
        <w:tabs>
          <w:tab w:val="left" w:pos="567"/>
          <w:tab w:val="left" w:pos="1134"/>
          <w:tab w:val="left" w:pos="1701"/>
          <w:tab w:val="left" w:pos="1985"/>
          <w:tab w:val="left" w:pos="2268"/>
        </w:tabs>
        <w:spacing w:before="120" w:after="0" w:line="280" w:lineRule="atLeast"/>
        <w:ind w:left="1985" w:hanging="284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val="en-GB" w:eastAsia="en-GB"/>
        </w:rPr>
        <w:t>measure many ships in a few high traffic density locations including port entrances, using airborne, shipborne and/or fixed sensors</w:t>
      </w:r>
    </w:p>
    <w:p w14:paraId="443A847B" w14:textId="1785F7C8" w:rsidR="00AC148A" w:rsidRPr="00AC148A" w:rsidRDefault="00B8513B" w:rsidP="00AC148A">
      <w:pPr>
        <w:numPr>
          <w:ilvl w:val="3"/>
          <w:numId w:val="23"/>
        </w:numPr>
        <w:tabs>
          <w:tab w:val="left" w:pos="567"/>
          <w:tab w:val="left" w:pos="1134"/>
          <w:tab w:val="left" w:pos="1701"/>
          <w:tab w:val="left" w:pos="1985"/>
          <w:tab w:val="left" w:pos="2268"/>
        </w:tabs>
        <w:spacing w:before="120" w:after="0" w:line="280" w:lineRule="atLeast"/>
        <w:ind w:left="1985" w:hanging="284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measure </w:t>
      </w:r>
      <w:r w:rsidR="00AC148A" w:rsidRPr="00AC148A">
        <w:rPr>
          <w:rFonts w:ascii="Calibri" w:eastAsia="Times New Roman" w:hAnsi="Calibri" w:cs="Times New Roman"/>
          <w:sz w:val="22"/>
          <w:szCs w:val="20"/>
          <w:lang w:val="en-GB" w:eastAsia="en-GB"/>
        </w:rPr>
        <w:t>fewer ships but in many locations (unpredictable approach) using airborne and/or shipborne sensors.</w:t>
      </w:r>
    </w:p>
    <w:p w14:paraId="13F94A03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Develop and maintain an inventory of assets/capacities among the Bonn Agreement.</w:t>
      </w:r>
    </w:p>
    <w:p w14:paraId="5D991B12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Consider using EMSA sniffer drones in joint campaigns under the Bonn Agreement and sharing experience on the drone deployments among CPs to increase knowledge. </w:t>
      </w:r>
    </w:p>
    <w:p w14:paraId="55B07467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Build on best practices from previous projects such as </w:t>
      </w:r>
      <w:proofErr w:type="spellStart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CompMon</w:t>
      </w:r>
      <w:proofErr w:type="spellEnd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and SCIPPER. </w:t>
      </w:r>
    </w:p>
    <w:p w14:paraId="6D6E7EB6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Exchange information on the use of Thetis EU database by CPs to improve reporting of compliant and non-compliant measurements and encourage CPs to submit this data. </w:t>
      </w:r>
    </w:p>
    <w:p w14:paraId="43001084" w14:textId="330FED5C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Encourage further developments in Thetis-EU to make it a more active alerting system, make it more accessible to Competent Authorities, and have automatic email alerts</w:t>
      </w:r>
      <w:r w:rsidR="00F10C9F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taking into account the measurement uncertainty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.</w:t>
      </w:r>
      <w:r w:rsidR="00F10C9F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</w:t>
      </w:r>
    </w:p>
    <w:p w14:paraId="7486704A" w14:textId="02B4DDDC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Consider proposing to the PSC community the exchange of information based on NOx measurements, possibly in Thetis-EU, to support MARPOL Annex VI enforcement and discuss how to include NOx measurements, possibly in Thetis-EU, in the future (</w:t>
      </w:r>
      <w:r w:rsidR="009C52BB">
        <w:rPr>
          <w:rFonts w:ascii="Calibri" w:eastAsia="Times New Roman" w:hAnsi="Calibri" w:cs="Times New Roman"/>
          <w:sz w:val="22"/>
          <w:szCs w:val="20"/>
          <w:lang w:eastAsia="en-GB"/>
        </w:rPr>
        <w:t>p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ending the potential development of EU regulations on NOx). </w:t>
      </w:r>
    </w:p>
    <w:p w14:paraId="648ECD01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Explore if Thetis-EU could better facilitate data sharing (including raw data) and be used for statistical analyses and annual reporting within the BA (for </w:t>
      </w:r>
      <w:proofErr w:type="spellStart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SOx</w:t>
      </w:r>
      <w:proofErr w:type="spellEnd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and NOx in the future). </w:t>
      </w:r>
    </w:p>
    <w:p w14:paraId="555B7E99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Consider possible </w:t>
      </w:r>
      <w:proofErr w:type="spellStart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authorisation</w:t>
      </w:r>
      <w:proofErr w:type="spellEnd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issues in Thetis-EU (i.e. one CP reporting with data in another CPs waters). </w:t>
      </w:r>
    </w:p>
    <w:p w14:paraId="32148841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Exchange information with the North Sea Network of Investigators &amp; Prosecutors (NSN).</w:t>
      </w:r>
    </w:p>
    <w:p w14:paraId="452755F6" w14:textId="77777777" w:rsidR="00AC148A" w:rsidRPr="00AC148A" w:rsidRDefault="00AC148A" w:rsidP="00AC148A">
      <w:pPr>
        <w:keepNext/>
        <w:tabs>
          <w:tab w:val="left" w:pos="567"/>
          <w:tab w:val="left" w:pos="1134"/>
          <w:tab w:val="left" w:pos="1701"/>
          <w:tab w:val="left" w:pos="2268"/>
        </w:tabs>
        <w:spacing w:before="24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r w:rsidRPr="00AC148A">
        <w:rPr>
          <w:rFonts w:ascii="Calibri" w:eastAsia="Times New Roman" w:hAnsi="Calibri" w:cs="Calibri"/>
          <w:b/>
          <w:sz w:val="22"/>
          <w:szCs w:val="20"/>
          <w:lang w:val="en-GB" w:eastAsia="en-GB"/>
        </w:rPr>
        <w:t>Actions for which external funding might need to be considered (possible project-based actions)</w:t>
      </w:r>
    </w:p>
    <w:p w14:paraId="11198CE5" w14:textId="77777777" w:rsidR="00AC148A" w:rsidRPr="00AC148A" w:rsidRDefault="00AC148A" w:rsidP="00AC148A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The WG will support the project coordinator in the delivery of the following actions:</w:t>
      </w:r>
    </w:p>
    <w:p w14:paraId="1C3EEE75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lastRenderedPageBreak/>
        <w:t xml:space="preserve">Consider </w:t>
      </w:r>
      <w:proofErr w:type="spellStart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organising</w:t>
      </w:r>
      <w:proofErr w:type="spellEnd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joint offshore sub-regional surveillance programs building on existing capacities and sharing assets and costs with </w:t>
      </w:r>
      <w:proofErr w:type="spellStart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neighbours</w:t>
      </w:r>
      <w:proofErr w:type="spellEnd"/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. Consider a scaled approach: national programs and sub-regional coordination→ Sub-regional \ regional programs→ inter-regional level. The second and third level of this regional coordination needs external funding. </w:t>
      </w:r>
    </w:p>
    <w:p w14:paraId="354EB9FF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Identify priority areas (high traffic density, ECA, ECA borders) or high-risk areas using e.g. satellite information or outcome from a risk analysis project. </w:t>
      </w:r>
    </w:p>
    <w:p w14:paraId="28424E05" w14:textId="77777777" w:rsidR="00AC148A" w:rsidRPr="00AC148A" w:rsidRDefault="00AC148A" w:rsidP="00AC148A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Coordinate a regional mission once a year with national assets (TdH</w:t>
      </w:r>
      <w:r w:rsidRPr="00AC148A">
        <w:rPr>
          <w:rFonts w:ascii="Calibri" w:eastAsia="Times New Roman" w:hAnsi="Calibri" w:cs="Times New Roman"/>
          <w:sz w:val="22"/>
          <w:szCs w:val="20"/>
          <w:vertAlign w:val="superscript"/>
          <w:lang w:eastAsia="en-GB"/>
        </w:rPr>
        <w:footnoteReference w:id="1"/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>/CEPCO</w:t>
      </w:r>
      <w:r w:rsidRPr="00AC148A">
        <w:rPr>
          <w:rFonts w:ascii="Calibri" w:eastAsia="Times New Roman" w:hAnsi="Calibri" w:cs="Times New Roman"/>
          <w:sz w:val="22"/>
          <w:szCs w:val="20"/>
          <w:vertAlign w:val="superscript"/>
          <w:lang w:eastAsia="en-GB"/>
        </w:rPr>
        <w:footnoteReference w:id="2"/>
      </w:r>
      <w:r w:rsidRPr="00AC148A">
        <w:rPr>
          <w:rFonts w:ascii="Calibri" w:eastAsia="Times New Roman" w:hAnsi="Calibri" w:cs="Times New Roman"/>
          <w:sz w:val="22"/>
          <w:szCs w:val="20"/>
          <w:vertAlign w:val="superscript"/>
          <w:lang w:eastAsia="en-GB"/>
        </w:rPr>
        <w:t xml:space="preserve"> </w:t>
      </w:r>
      <w:r w:rsidRPr="00AC148A">
        <w:rPr>
          <w:rFonts w:ascii="Calibri" w:eastAsia="Times New Roman" w:hAnsi="Calibri" w:cs="Times New Roman"/>
          <w:sz w:val="22"/>
          <w:szCs w:val="20"/>
          <w:lang w:eastAsia="en-GB"/>
        </w:rPr>
        <w:t xml:space="preserve">type) and/or EMSA RPAS. </w:t>
      </w:r>
    </w:p>
    <w:p w14:paraId="1F40CD24" w14:textId="06E2764B" w:rsidR="00AC148A" w:rsidRPr="00AC148A" w:rsidRDefault="00AC148A" w:rsidP="00AC148A">
      <w:pPr>
        <w:tabs>
          <w:tab w:val="left" w:pos="567"/>
          <w:tab w:val="left" w:pos="1134"/>
          <w:tab w:val="left" w:pos="1701"/>
          <w:tab w:val="left" w:pos="2268"/>
        </w:tabs>
        <w:spacing w:before="240" w:after="240" w:line="28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GB" w:eastAsia="en-GB"/>
        </w:rPr>
      </w:pPr>
    </w:p>
    <w:sectPr w:rsidR="00AC148A" w:rsidRPr="00AC148A" w:rsidSect="001E6A24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515D" w14:textId="77777777" w:rsidR="00E44538" w:rsidRDefault="00E44538" w:rsidP="00BB2EAF">
      <w:pPr>
        <w:spacing w:after="0" w:line="240" w:lineRule="auto"/>
      </w:pPr>
      <w:r>
        <w:separator/>
      </w:r>
    </w:p>
  </w:endnote>
  <w:endnote w:type="continuationSeparator" w:id="0">
    <w:p w14:paraId="07A59FA8" w14:textId="77777777" w:rsidR="00E44538" w:rsidRDefault="00E44538" w:rsidP="00BB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C58B" w14:textId="77777777" w:rsidR="00354250" w:rsidRDefault="00354250" w:rsidP="00354250">
    <w:pPr>
      <w:pStyle w:val="Footer"/>
      <w:pBdr>
        <w:bottom w:val="single" w:sz="4" w:space="1" w:color="auto"/>
      </w:pBdr>
      <w:tabs>
        <w:tab w:val="left" w:pos="272"/>
      </w:tabs>
      <w:jc w:val="right"/>
      <w:rPr>
        <w:rStyle w:val="PageNumber"/>
        <w:rFonts w:ascii="Calibri" w:hAnsi="Calibri"/>
        <w:sz w:val="20"/>
        <w:szCs w:val="18"/>
      </w:rPr>
    </w:pPr>
    <w:r w:rsidRPr="00A87231">
      <w:rPr>
        <w:rStyle w:val="PageNumber"/>
        <w:rFonts w:ascii="Calibri" w:hAnsi="Calibri"/>
        <w:sz w:val="20"/>
        <w:szCs w:val="18"/>
      </w:rPr>
      <w:fldChar w:fldCharType="begin"/>
    </w:r>
    <w:r w:rsidRPr="00A87231">
      <w:rPr>
        <w:rStyle w:val="PageNumber"/>
        <w:rFonts w:ascii="Calibri" w:hAnsi="Calibri"/>
        <w:sz w:val="20"/>
        <w:szCs w:val="18"/>
      </w:rPr>
      <w:instrText xml:space="preserve"> PAGE </w:instrText>
    </w:r>
    <w:r w:rsidRPr="00A87231">
      <w:rPr>
        <w:rStyle w:val="PageNumber"/>
        <w:rFonts w:ascii="Calibri" w:hAnsi="Calibri"/>
        <w:sz w:val="20"/>
        <w:szCs w:val="18"/>
      </w:rPr>
      <w:fldChar w:fldCharType="separate"/>
    </w:r>
    <w:r>
      <w:rPr>
        <w:rStyle w:val="PageNumber"/>
        <w:rFonts w:ascii="Calibri" w:hAnsi="Calibri"/>
        <w:sz w:val="20"/>
        <w:szCs w:val="18"/>
      </w:rPr>
      <w:t>1</w:t>
    </w:r>
    <w:r w:rsidRPr="00A87231">
      <w:rPr>
        <w:rStyle w:val="PageNumber"/>
        <w:rFonts w:ascii="Calibri" w:hAnsi="Calibri"/>
        <w:sz w:val="20"/>
        <w:szCs w:val="18"/>
      </w:rPr>
      <w:fldChar w:fldCharType="end"/>
    </w:r>
    <w:r w:rsidRPr="00A87231">
      <w:rPr>
        <w:rStyle w:val="PageNumber"/>
        <w:rFonts w:ascii="Calibri" w:hAnsi="Calibri"/>
        <w:sz w:val="20"/>
        <w:szCs w:val="18"/>
      </w:rPr>
      <w:t xml:space="preserve"> of </w:t>
    </w:r>
    <w:r w:rsidRPr="00A87231">
      <w:rPr>
        <w:rStyle w:val="PageNumber"/>
        <w:rFonts w:ascii="Calibri" w:hAnsi="Calibri"/>
        <w:sz w:val="20"/>
        <w:szCs w:val="18"/>
      </w:rPr>
      <w:fldChar w:fldCharType="begin"/>
    </w:r>
    <w:r w:rsidRPr="00A87231">
      <w:rPr>
        <w:rStyle w:val="PageNumber"/>
        <w:rFonts w:ascii="Calibri" w:hAnsi="Calibri"/>
        <w:sz w:val="20"/>
        <w:szCs w:val="18"/>
      </w:rPr>
      <w:instrText xml:space="preserve"> NUMPAGES </w:instrText>
    </w:r>
    <w:r w:rsidRPr="00A87231">
      <w:rPr>
        <w:rStyle w:val="PageNumber"/>
        <w:rFonts w:ascii="Calibri" w:hAnsi="Calibri"/>
        <w:sz w:val="20"/>
        <w:szCs w:val="18"/>
      </w:rPr>
      <w:fldChar w:fldCharType="separate"/>
    </w:r>
    <w:r>
      <w:rPr>
        <w:rStyle w:val="PageNumber"/>
        <w:rFonts w:ascii="Calibri" w:hAnsi="Calibri"/>
        <w:sz w:val="20"/>
        <w:szCs w:val="18"/>
      </w:rPr>
      <w:t>7</w:t>
    </w:r>
    <w:r w:rsidRPr="00A87231">
      <w:rPr>
        <w:rStyle w:val="PageNumber"/>
        <w:rFonts w:ascii="Calibri" w:hAnsi="Calibri"/>
        <w:sz w:val="20"/>
        <w:szCs w:val="18"/>
      </w:rPr>
      <w:fldChar w:fldCharType="end"/>
    </w:r>
  </w:p>
  <w:p w14:paraId="2B392D6E" w14:textId="77777777" w:rsidR="00354250" w:rsidRPr="00A87231" w:rsidRDefault="00354250" w:rsidP="00354250">
    <w:pPr>
      <w:pStyle w:val="Footer"/>
      <w:tabs>
        <w:tab w:val="left" w:leader="underscore" w:pos="9639"/>
      </w:tabs>
      <w:rPr>
        <w:rFonts w:ascii="Calibri" w:hAnsi="Calibri"/>
        <w:sz w:val="2"/>
        <w:szCs w:val="18"/>
      </w:rPr>
    </w:pPr>
    <w:r w:rsidRPr="00A87231">
      <w:rPr>
        <w:rStyle w:val="PageNumber"/>
        <w:rFonts w:ascii="Calibri" w:hAnsi="Calibri"/>
        <w:sz w:val="2"/>
        <w:szCs w:val="18"/>
      </w:rPr>
      <w:tab/>
    </w:r>
  </w:p>
  <w:p w14:paraId="1FA9C847" w14:textId="3159CC2A" w:rsidR="004969A3" w:rsidRPr="00354250" w:rsidRDefault="00354250" w:rsidP="00354250">
    <w:pPr>
      <w:pStyle w:val="Footer"/>
      <w:tabs>
        <w:tab w:val="right" w:pos="9639"/>
      </w:tabs>
      <w:rPr>
        <w:rFonts w:ascii="Calibri" w:hAnsi="Calibri"/>
        <w:sz w:val="20"/>
        <w:szCs w:val="18"/>
      </w:rPr>
    </w:pPr>
    <w:r w:rsidRPr="00A87231">
      <w:rPr>
        <w:rFonts w:ascii="Calibri" w:hAnsi="Calibri"/>
        <w:sz w:val="20"/>
        <w:szCs w:val="18"/>
      </w:rPr>
      <w:t>Bonn Agreement</w:t>
    </w:r>
    <w:r>
      <w:rPr>
        <w:rFonts w:ascii="Calibri" w:hAnsi="Calibri"/>
        <w:sz w:val="20"/>
        <w:szCs w:val="18"/>
      </w:rPr>
      <w:tab/>
    </w:r>
    <w:r w:rsidR="00230EA7">
      <w:rPr>
        <w:rFonts w:ascii="Calibri" w:hAnsi="Calibri"/>
        <w:sz w:val="20"/>
        <w:szCs w:val="18"/>
      </w:rPr>
      <w:tab/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254F" w14:textId="77777777" w:rsidR="00E44538" w:rsidRDefault="00E44538" w:rsidP="00BB2EAF">
      <w:pPr>
        <w:spacing w:after="0" w:line="240" w:lineRule="auto"/>
      </w:pPr>
      <w:r>
        <w:separator/>
      </w:r>
    </w:p>
  </w:footnote>
  <w:footnote w:type="continuationSeparator" w:id="0">
    <w:p w14:paraId="7B387CBF" w14:textId="77777777" w:rsidR="00E44538" w:rsidRDefault="00E44538" w:rsidP="00BB2EAF">
      <w:pPr>
        <w:spacing w:after="0" w:line="240" w:lineRule="auto"/>
      </w:pPr>
      <w:r>
        <w:continuationSeparator/>
      </w:r>
    </w:p>
  </w:footnote>
  <w:footnote w:id="1">
    <w:p w14:paraId="12B7DC41" w14:textId="77777777" w:rsidR="00AC148A" w:rsidRDefault="00AC148A" w:rsidP="00AC148A">
      <w:pPr>
        <w:pStyle w:val="FootnoteText"/>
      </w:pPr>
      <w:r>
        <w:rPr>
          <w:rStyle w:val="FootnoteReference"/>
        </w:rPr>
        <w:footnoteRef/>
      </w:r>
      <w:r>
        <w:t xml:space="preserve"> Tour d’Horizon programme for aerial surveillance of offshore oil and gas installations</w:t>
      </w:r>
    </w:p>
  </w:footnote>
  <w:footnote w:id="2">
    <w:p w14:paraId="32895333" w14:textId="77777777" w:rsidR="00AC148A" w:rsidRDefault="00AC148A" w:rsidP="00AC148A">
      <w:pPr>
        <w:pStyle w:val="FootnoteText"/>
      </w:pPr>
      <w:r>
        <w:rPr>
          <w:rStyle w:val="FootnoteReference"/>
        </w:rPr>
        <w:footnoteRef/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t>Co-ordinated Extended Pollution Control Operations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F09"/>
    <w:multiLevelType w:val="hybridMultilevel"/>
    <w:tmpl w:val="DC402F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B38"/>
    <w:multiLevelType w:val="hybridMultilevel"/>
    <w:tmpl w:val="4A88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249"/>
    <w:multiLevelType w:val="hybridMultilevel"/>
    <w:tmpl w:val="7F10F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53E"/>
    <w:multiLevelType w:val="hybridMultilevel"/>
    <w:tmpl w:val="572A75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6C5"/>
    <w:multiLevelType w:val="hybridMultilevel"/>
    <w:tmpl w:val="A92C9A4C"/>
    <w:lvl w:ilvl="0" w:tplc="6DA2402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5239"/>
    <w:multiLevelType w:val="hybridMultilevel"/>
    <w:tmpl w:val="AEA47240"/>
    <w:lvl w:ilvl="0" w:tplc="25FECA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39BD"/>
    <w:multiLevelType w:val="hybridMultilevel"/>
    <w:tmpl w:val="9C76E0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32"/>
    <w:multiLevelType w:val="hybridMultilevel"/>
    <w:tmpl w:val="D2C8C9F0"/>
    <w:lvl w:ilvl="0" w:tplc="843C9182">
      <w:start w:val="1"/>
      <w:numFmt w:val="decimal"/>
      <w:lvlText w:val="6.%1"/>
      <w:lvlJc w:val="left"/>
      <w:pPr>
        <w:ind w:left="72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0DA2"/>
    <w:multiLevelType w:val="hybridMultilevel"/>
    <w:tmpl w:val="5C4E9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F0A0A"/>
    <w:multiLevelType w:val="multilevel"/>
    <w:tmpl w:val="C72EE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AD0271"/>
    <w:multiLevelType w:val="multilevel"/>
    <w:tmpl w:val="2392F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D8743A"/>
    <w:multiLevelType w:val="hybridMultilevel"/>
    <w:tmpl w:val="9C76E0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3DA9"/>
    <w:multiLevelType w:val="hybridMultilevel"/>
    <w:tmpl w:val="9C76E0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F7B28"/>
    <w:multiLevelType w:val="hybridMultilevel"/>
    <w:tmpl w:val="79649420"/>
    <w:lvl w:ilvl="0" w:tplc="02D4E268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2C1F"/>
    <w:multiLevelType w:val="multilevel"/>
    <w:tmpl w:val="B896D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404986"/>
    <w:multiLevelType w:val="multilevel"/>
    <w:tmpl w:val="840664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427FB0"/>
    <w:multiLevelType w:val="hybridMultilevel"/>
    <w:tmpl w:val="0082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A46DB"/>
    <w:multiLevelType w:val="hybridMultilevel"/>
    <w:tmpl w:val="9C76E0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27E79"/>
    <w:multiLevelType w:val="hybridMultilevel"/>
    <w:tmpl w:val="790A0186"/>
    <w:lvl w:ilvl="0" w:tplc="25FECA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5498C"/>
    <w:multiLevelType w:val="hybridMultilevel"/>
    <w:tmpl w:val="5CB020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95BA4"/>
    <w:multiLevelType w:val="multilevel"/>
    <w:tmpl w:val="2392F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0E46E8"/>
    <w:multiLevelType w:val="hybridMultilevel"/>
    <w:tmpl w:val="D3609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00067">
    <w:abstractNumId w:val="4"/>
  </w:num>
  <w:num w:numId="2" w16cid:durableId="983196030">
    <w:abstractNumId w:val="13"/>
  </w:num>
  <w:num w:numId="3" w16cid:durableId="2073579962">
    <w:abstractNumId w:val="2"/>
  </w:num>
  <w:num w:numId="4" w16cid:durableId="1497301364">
    <w:abstractNumId w:val="21"/>
  </w:num>
  <w:num w:numId="5" w16cid:durableId="1866404141">
    <w:abstractNumId w:val="20"/>
  </w:num>
  <w:num w:numId="6" w16cid:durableId="37902080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4096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0935874">
    <w:abstractNumId w:val="15"/>
  </w:num>
  <w:num w:numId="9" w16cid:durableId="1397774968">
    <w:abstractNumId w:val="10"/>
  </w:num>
  <w:num w:numId="10" w16cid:durableId="24716589">
    <w:abstractNumId w:val="0"/>
  </w:num>
  <w:num w:numId="11" w16cid:durableId="1963263749">
    <w:abstractNumId w:val="5"/>
  </w:num>
  <w:num w:numId="12" w16cid:durableId="1048450913">
    <w:abstractNumId w:val="18"/>
  </w:num>
  <w:num w:numId="13" w16cid:durableId="1510288995">
    <w:abstractNumId w:val="3"/>
  </w:num>
  <w:num w:numId="14" w16cid:durableId="815412351">
    <w:abstractNumId w:val="6"/>
  </w:num>
  <w:num w:numId="15" w16cid:durableId="1436243535">
    <w:abstractNumId w:val="11"/>
  </w:num>
  <w:num w:numId="16" w16cid:durableId="693576650">
    <w:abstractNumId w:val="12"/>
  </w:num>
  <w:num w:numId="17" w16cid:durableId="1472165527">
    <w:abstractNumId w:val="17"/>
  </w:num>
  <w:num w:numId="18" w16cid:durableId="362484911">
    <w:abstractNumId w:val="13"/>
  </w:num>
  <w:num w:numId="19" w16cid:durableId="602766992">
    <w:abstractNumId w:val="13"/>
  </w:num>
  <w:num w:numId="20" w16cid:durableId="1263998241">
    <w:abstractNumId w:val="7"/>
  </w:num>
  <w:num w:numId="21" w16cid:durableId="254748437">
    <w:abstractNumId w:val="13"/>
  </w:num>
  <w:num w:numId="22" w16cid:durableId="1847209222">
    <w:abstractNumId w:val="19"/>
  </w:num>
  <w:num w:numId="23" w16cid:durableId="1238976075">
    <w:abstractNumId w:val="9"/>
  </w:num>
  <w:num w:numId="24" w16cid:durableId="16201416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23559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5764888">
    <w:abstractNumId w:val="1"/>
  </w:num>
  <w:num w:numId="27" w16cid:durableId="360594380">
    <w:abstractNumId w:val="13"/>
  </w:num>
  <w:num w:numId="28" w16cid:durableId="1900051908">
    <w:abstractNumId w:val="13"/>
  </w:num>
  <w:num w:numId="29" w16cid:durableId="1000039946">
    <w:abstractNumId w:val="16"/>
  </w:num>
  <w:num w:numId="30" w16cid:durableId="94307337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C4"/>
    <w:rsid w:val="0000107C"/>
    <w:rsid w:val="000013A4"/>
    <w:rsid w:val="000068F7"/>
    <w:rsid w:val="0001144B"/>
    <w:rsid w:val="000117F0"/>
    <w:rsid w:val="000119C3"/>
    <w:rsid w:val="0001744F"/>
    <w:rsid w:val="000432E0"/>
    <w:rsid w:val="0004581E"/>
    <w:rsid w:val="00047538"/>
    <w:rsid w:val="00052678"/>
    <w:rsid w:val="00067A15"/>
    <w:rsid w:val="00067AC0"/>
    <w:rsid w:val="00097586"/>
    <w:rsid w:val="000A056F"/>
    <w:rsid w:val="000A2E04"/>
    <w:rsid w:val="000C217C"/>
    <w:rsid w:val="00117523"/>
    <w:rsid w:val="00146131"/>
    <w:rsid w:val="001474B1"/>
    <w:rsid w:val="0015151B"/>
    <w:rsid w:val="00156953"/>
    <w:rsid w:val="0016587B"/>
    <w:rsid w:val="00166346"/>
    <w:rsid w:val="00166CDD"/>
    <w:rsid w:val="001758B7"/>
    <w:rsid w:val="00185B1B"/>
    <w:rsid w:val="001906BC"/>
    <w:rsid w:val="001A6666"/>
    <w:rsid w:val="001E3DE1"/>
    <w:rsid w:val="001E6A24"/>
    <w:rsid w:val="00204FA1"/>
    <w:rsid w:val="00206E49"/>
    <w:rsid w:val="00214592"/>
    <w:rsid w:val="00224EE7"/>
    <w:rsid w:val="00230EA7"/>
    <w:rsid w:val="00233CAA"/>
    <w:rsid w:val="00245933"/>
    <w:rsid w:val="002473EC"/>
    <w:rsid w:val="00260408"/>
    <w:rsid w:val="00261384"/>
    <w:rsid w:val="00261C86"/>
    <w:rsid w:val="00267A74"/>
    <w:rsid w:val="00272932"/>
    <w:rsid w:val="00280396"/>
    <w:rsid w:val="002A06D3"/>
    <w:rsid w:val="002A3D25"/>
    <w:rsid w:val="002A67E8"/>
    <w:rsid w:val="002B62EB"/>
    <w:rsid w:val="002D24FA"/>
    <w:rsid w:val="002E02EF"/>
    <w:rsid w:val="002E06DF"/>
    <w:rsid w:val="002E0E58"/>
    <w:rsid w:val="002E3ED5"/>
    <w:rsid w:val="002F0279"/>
    <w:rsid w:val="002F39AE"/>
    <w:rsid w:val="002F4C7F"/>
    <w:rsid w:val="002F6C1E"/>
    <w:rsid w:val="00307B6F"/>
    <w:rsid w:val="00311407"/>
    <w:rsid w:val="003133EE"/>
    <w:rsid w:val="00322E44"/>
    <w:rsid w:val="00323A04"/>
    <w:rsid w:val="00335521"/>
    <w:rsid w:val="00350A89"/>
    <w:rsid w:val="00354250"/>
    <w:rsid w:val="00386D01"/>
    <w:rsid w:val="003A3F03"/>
    <w:rsid w:val="003B2A44"/>
    <w:rsid w:val="003B3BBF"/>
    <w:rsid w:val="003D6F14"/>
    <w:rsid w:val="003E1A47"/>
    <w:rsid w:val="003F7B07"/>
    <w:rsid w:val="0042521A"/>
    <w:rsid w:val="004749F3"/>
    <w:rsid w:val="00495901"/>
    <w:rsid w:val="004969A3"/>
    <w:rsid w:val="004A704F"/>
    <w:rsid w:val="004D2014"/>
    <w:rsid w:val="004E0BCB"/>
    <w:rsid w:val="004E774C"/>
    <w:rsid w:val="004F6E27"/>
    <w:rsid w:val="00503CDF"/>
    <w:rsid w:val="005164CB"/>
    <w:rsid w:val="005447C4"/>
    <w:rsid w:val="00547E84"/>
    <w:rsid w:val="0057625D"/>
    <w:rsid w:val="00593611"/>
    <w:rsid w:val="005940F0"/>
    <w:rsid w:val="005A7077"/>
    <w:rsid w:val="005A7F1A"/>
    <w:rsid w:val="005B7E3F"/>
    <w:rsid w:val="005C3F81"/>
    <w:rsid w:val="005C4904"/>
    <w:rsid w:val="005D19D8"/>
    <w:rsid w:val="005E6145"/>
    <w:rsid w:val="0061025F"/>
    <w:rsid w:val="00612B41"/>
    <w:rsid w:val="00613195"/>
    <w:rsid w:val="006136DC"/>
    <w:rsid w:val="0062476C"/>
    <w:rsid w:val="00675787"/>
    <w:rsid w:val="00680A55"/>
    <w:rsid w:val="006A30D4"/>
    <w:rsid w:val="006A4D96"/>
    <w:rsid w:val="006A51BA"/>
    <w:rsid w:val="006C7A16"/>
    <w:rsid w:val="006D38DD"/>
    <w:rsid w:val="006F39FB"/>
    <w:rsid w:val="00704C13"/>
    <w:rsid w:val="00721DB8"/>
    <w:rsid w:val="00723422"/>
    <w:rsid w:val="00747114"/>
    <w:rsid w:val="007472BF"/>
    <w:rsid w:val="00750F67"/>
    <w:rsid w:val="0075533C"/>
    <w:rsid w:val="007673FF"/>
    <w:rsid w:val="00770935"/>
    <w:rsid w:val="007861BD"/>
    <w:rsid w:val="007917CA"/>
    <w:rsid w:val="00797ECA"/>
    <w:rsid w:val="007A48D4"/>
    <w:rsid w:val="007A5C71"/>
    <w:rsid w:val="007E5C8E"/>
    <w:rsid w:val="0080782D"/>
    <w:rsid w:val="0082497C"/>
    <w:rsid w:val="00824D7A"/>
    <w:rsid w:val="008256FE"/>
    <w:rsid w:val="00845582"/>
    <w:rsid w:val="00864041"/>
    <w:rsid w:val="00882CD1"/>
    <w:rsid w:val="008933C4"/>
    <w:rsid w:val="008B7C5E"/>
    <w:rsid w:val="008C0DFA"/>
    <w:rsid w:val="008E5F89"/>
    <w:rsid w:val="008F7992"/>
    <w:rsid w:val="00916F3B"/>
    <w:rsid w:val="009313C1"/>
    <w:rsid w:val="0093174B"/>
    <w:rsid w:val="00935F34"/>
    <w:rsid w:val="0093756B"/>
    <w:rsid w:val="00945C5E"/>
    <w:rsid w:val="00946F2C"/>
    <w:rsid w:val="00955919"/>
    <w:rsid w:val="0096358B"/>
    <w:rsid w:val="00976FB2"/>
    <w:rsid w:val="00977D19"/>
    <w:rsid w:val="00990A71"/>
    <w:rsid w:val="00993553"/>
    <w:rsid w:val="009C03B7"/>
    <w:rsid w:val="009C114B"/>
    <w:rsid w:val="009C376A"/>
    <w:rsid w:val="009C52BB"/>
    <w:rsid w:val="009E16E2"/>
    <w:rsid w:val="009E635C"/>
    <w:rsid w:val="009E64AF"/>
    <w:rsid w:val="00A04470"/>
    <w:rsid w:val="00A1105B"/>
    <w:rsid w:val="00A31EAB"/>
    <w:rsid w:val="00A36F24"/>
    <w:rsid w:val="00A45432"/>
    <w:rsid w:val="00A75539"/>
    <w:rsid w:val="00A81C02"/>
    <w:rsid w:val="00A8393D"/>
    <w:rsid w:val="00A92D7E"/>
    <w:rsid w:val="00AA62EF"/>
    <w:rsid w:val="00AB4390"/>
    <w:rsid w:val="00AC148A"/>
    <w:rsid w:val="00AC1880"/>
    <w:rsid w:val="00AC6F2A"/>
    <w:rsid w:val="00AE12B7"/>
    <w:rsid w:val="00AE2BB0"/>
    <w:rsid w:val="00AE7DF5"/>
    <w:rsid w:val="00AF0004"/>
    <w:rsid w:val="00B01E9F"/>
    <w:rsid w:val="00B06701"/>
    <w:rsid w:val="00B10E32"/>
    <w:rsid w:val="00B11703"/>
    <w:rsid w:val="00B5010B"/>
    <w:rsid w:val="00B52967"/>
    <w:rsid w:val="00B63A16"/>
    <w:rsid w:val="00B73A6B"/>
    <w:rsid w:val="00B8513B"/>
    <w:rsid w:val="00B865E3"/>
    <w:rsid w:val="00B875AE"/>
    <w:rsid w:val="00B90631"/>
    <w:rsid w:val="00B92741"/>
    <w:rsid w:val="00B96CEE"/>
    <w:rsid w:val="00BB2EAF"/>
    <w:rsid w:val="00BB5525"/>
    <w:rsid w:val="00BD2E52"/>
    <w:rsid w:val="00BE15B2"/>
    <w:rsid w:val="00C26157"/>
    <w:rsid w:val="00C4016D"/>
    <w:rsid w:val="00C40BA3"/>
    <w:rsid w:val="00C562FB"/>
    <w:rsid w:val="00C86880"/>
    <w:rsid w:val="00CA29BE"/>
    <w:rsid w:val="00CA5F62"/>
    <w:rsid w:val="00CB0CF3"/>
    <w:rsid w:val="00CB6458"/>
    <w:rsid w:val="00CC3D79"/>
    <w:rsid w:val="00D07400"/>
    <w:rsid w:val="00D23202"/>
    <w:rsid w:val="00DB0C44"/>
    <w:rsid w:val="00DB6311"/>
    <w:rsid w:val="00DC6008"/>
    <w:rsid w:val="00DC6821"/>
    <w:rsid w:val="00DC71A4"/>
    <w:rsid w:val="00DC7796"/>
    <w:rsid w:val="00DD69C9"/>
    <w:rsid w:val="00DE260F"/>
    <w:rsid w:val="00E01015"/>
    <w:rsid w:val="00E12036"/>
    <w:rsid w:val="00E44538"/>
    <w:rsid w:val="00E6685A"/>
    <w:rsid w:val="00E838DB"/>
    <w:rsid w:val="00E939B5"/>
    <w:rsid w:val="00E93AA6"/>
    <w:rsid w:val="00EC1E39"/>
    <w:rsid w:val="00EE58D5"/>
    <w:rsid w:val="00EE79E0"/>
    <w:rsid w:val="00EF0D29"/>
    <w:rsid w:val="00F10C9F"/>
    <w:rsid w:val="00F13743"/>
    <w:rsid w:val="00F13DB4"/>
    <w:rsid w:val="00F3205C"/>
    <w:rsid w:val="00F4768C"/>
    <w:rsid w:val="00F551B0"/>
    <w:rsid w:val="00F60F80"/>
    <w:rsid w:val="00F73E70"/>
    <w:rsid w:val="00F76BC1"/>
    <w:rsid w:val="00F77DCA"/>
    <w:rsid w:val="00F85A19"/>
    <w:rsid w:val="00FA71AF"/>
    <w:rsid w:val="00FB1610"/>
    <w:rsid w:val="00FB3F13"/>
    <w:rsid w:val="00FB40B3"/>
    <w:rsid w:val="00FC51AD"/>
    <w:rsid w:val="00FD1479"/>
    <w:rsid w:val="00FE12DD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E9CD7"/>
  <w15:chartTrackingRefBased/>
  <w15:docId w15:val="{CFC93E6A-72FE-41A3-AF66-0242BFE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14B"/>
  </w:style>
  <w:style w:type="paragraph" w:styleId="Heading1">
    <w:name w:val="heading 1"/>
    <w:basedOn w:val="Normal"/>
    <w:next w:val="Normal"/>
    <w:link w:val="Heading1Char"/>
    <w:uiPriority w:val="9"/>
    <w:qFormat/>
    <w:rsid w:val="002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0D4"/>
    <w:pPr>
      <w:keepNext/>
      <w:spacing w:before="240" w:after="120" w:line="276" w:lineRule="auto"/>
      <w:jc w:val="both"/>
      <w:outlineLvl w:val="1"/>
    </w:pPr>
    <w:rPr>
      <w:rFonts w:ascii="Calibri" w:eastAsia="Times New Roman" w:hAnsi="Calibri" w:cs="Times New Roman"/>
      <w:sz w:val="28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_Bullet,Heading 2_sj,List Paragraph1,Listenabsatz1,Parágrafo da Lista"/>
    <w:basedOn w:val="Normal"/>
    <w:link w:val="ListParagraphChar"/>
    <w:uiPriority w:val="34"/>
    <w:qFormat/>
    <w:rsid w:val="002F4C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EA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2613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6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1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0D4"/>
    <w:rPr>
      <w:rFonts w:ascii="Calibri" w:eastAsia="Times New Roman" w:hAnsi="Calibri" w:cs="Times New Roman"/>
      <w:sz w:val="28"/>
      <w:szCs w:val="20"/>
      <w:lang w:val="en-GB" w:eastAsia="en-GB"/>
    </w:rPr>
  </w:style>
  <w:style w:type="character" w:styleId="Hyperlink">
    <w:name w:val="Hyperlink"/>
    <w:rsid w:val="006A30D4"/>
    <w:rPr>
      <w:color w:val="0000FF"/>
      <w:u w:val="single"/>
    </w:rPr>
  </w:style>
  <w:style w:type="character" w:customStyle="1" w:styleId="ListParagraphChar">
    <w:name w:val="List Paragraph Char"/>
    <w:aliases w:val="_Bullet Char,Heading 2_sj Char,List Paragraph1 Char,Listenabsatz1 Char,Parágrafo da Lista Char"/>
    <w:basedOn w:val="DefaultParagraphFont"/>
    <w:link w:val="ListParagraph"/>
    <w:uiPriority w:val="34"/>
    <w:qFormat/>
    <w:locked/>
    <w:rsid w:val="006A30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79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6B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E02EF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E02EF"/>
    <w:rPr>
      <w:rFonts w:ascii="Times New Roman" w:eastAsia="Times New Roman" w:hAnsi="Times New Roman" w:cs="Times New Roman"/>
      <w:sz w:val="22"/>
      <w:szCs w:val="20"/>
      <w:lang w:val="en-GB"/>
    </w:rPr>
  </w:style>
  <w:style w:type="paragraph" w:styleId="Revision">
    <w:name w:val="Revision"/>
    <w:hidden/>
    <w:uiPriority w:val="99"/>
    <w:semiHidden/>
    <w:rsid w:val="002A3D25"/>
    <w:pPr>
      <w:spacing w:after="0" w:line="240" w:lineRule="auto"/>
    </w:pPr>
  </w:style>
  <w:style w:type="paragraph" w:customStyle="1" w:styleId="Paragraph">
    <w:name w:val="Paragraph"/>
    <w:basedOn w:val="Normal"/>
    <w:qFormat/>
    <w:rsid w:val="002F6C1E"/>
    <w:pPr>
      <w:tabs>
        <w:tab w:val="left" w:pos="567"/>
        <w:tab w:val="left" w:pos="1134"/>
        <w:tab w:val="left" w:pos="1701"/>
        <w:tab w:val="left" w:pos="2268"/>
      </w:tabs>
      <w:spacing w:before="120" w:after="0" w:line="280" w:lineRule="atLeast"/>
      <w:ind w:left="720" w:hanging="360"/>
      <w:jc w:val="both"/>
    </w:pPr>
    <w:rPr>
      <w:rFonts w:ascii="Calibri" w:eastAsia="Times New Roman" w:hAnsi="Calibri" w:cs="Times New Roman"/>
      <w:sz w:val="22"/>
      <w:szCs w:val="20"/>
      <w:lang w:val="en-GB"/>
    </w:rPr>
  </w:style>
  <w:style w:type="paragraph" w:customStyle="1" w:styleId="Style1">
    <w:name w:val="Style1"/>
    <w:basedOn w:val="Normal"/>
    <w:qFormat/>
    <w:rsid w:val="00B11703"/>
    <w:pPr>
      <w:numPr>
        <w:numId w:val="2"/>
      </w:numPr>
      <w:tabs>
        <w:tab w:val="left" w:pos="567"/>
      </w:tabs>
      <w:spacing w:before="120" w:after="0" w:line="280" w:lineRule="atLeast"/>
      <w:jc w:val="both"/>
    </w:pPr>
    <w:rPr>
      <w:rFonts w:ascii="Calibri" w:eastAsia="Times New Roman" w:hAnsi="Calibri" w:cs="Times New Roman"/>
      <w:sz w:val="22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BB2EAF"/>
    <w:pPr>
      <w:tabs>
        <w:tab w:val="left" w:pos="567"/>
        <w:tab w:val="left" w:pos="1134"/>
        <w:tab w:val="left" w:pos="1701"/>
        <w:tab w:val="left" w:pos="2268"/>
      </w:tabs>
      <w:spacing w:after="120" w:line="240" w:lineRule="auto"/>
      <w:ind w:left="567" w:hanging="567"/>
      <w:jc w:val="both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EAF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aliases w:val="stylish"/>
    <w:uiPriority w:val="99"/>
    <w:rsid w:val="00BB2E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7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B1"/>
  </w:style>
  <w:style w:type="paragraph" w:styleId="Footer">
    <w:name w:val="footer"/>
    <w:basedOn w:val="Normal"/>
    <w:link w:val="FooterChar"/>
    <w:unhideWhenUsed/>
    <w:rsid w:val="00147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74B1"/>
  </w:style>
  <w:style w:type="paragraph" w:styleId="BalloonText">
    <w:name w:val="Balloon Text"/>
    <w:basedOn w:val="Normal"/>
    <w:link w:val="BalloonTextChar"/>
    <w:uiPriority w:val="99"/>
    <w:semiHidden/>
    <w:unhideWhenUsed/>
    <w:rsid w:val="00E6685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5A"/>
    <w:rPr>
      <w:rFonts w:ascii="Segoe UI" w:hAnsi="Segoe UI" w:cs="Segoe UI"/>
      <w:szCs w:val="18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5A7077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185B1B"/>
  </w:style>
  <w:style w:type="character" w:styleId="PageNumber">
    <w:name w:val="page number"/>
    <w:rsid w:val="00FE4D5E"/>
    <w:rPr>
      <w:rFonts w:ascii="Arial" w:hAnsi="Arial"/>
      <w:sz w:val="18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sid w:val="009E635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C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F10C9F"/>
    <w:rPr>
      <w:rFonts w:ascii="Segoe UI" w:hAnsi="Segoe UI" w:cs="Segoe UI" w:hint="default"/>
      <w:sz w:val="18"/>
      <w:szCs w:val="18"/>
    </w:rPr>
  </w:style>
  <w:style w:type="paragraph" w:customStyle="1" w:styleId="Docheader">
    <w:name w:val="Doc header"/>
    <w:basedOn w:val="Normal"/>
    <w:rsid w:val="00354250"/>
    <w:pPr>
      <w:tabs>
        <w:tab w:val="left" w:pos="567"/>
      </w:tabs>
      <w:spacing w:after="0" w:line="280" w:lineRule="exact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D1FC-A8E6-4A66-97D6-4B9DC11B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Rijksoverheid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Driesprong, A. (Astrid) - ILT</dc:creator>
  <cp:keywords/>
  <dc:description/>
  <cp:lastModifiedBy>Olle Akesson</cp:lastModifiedBy>
  <cp:revision>9</cp:revision>
  <dcterms:created xsi:type="dcterms:W3CDTF">2023-09-21T07:37:00Z</dcterms:created>
  <dcterms:modified xsi:type="dcterms:W3CDTF">2023-11-02T12:20:00Z</dcterms:modified>
</cp:coreProperties>
</file>