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F7B6" w14:textId="77777777" w:rsidR="008E5F89" w:rsidRPr="008E5F89" w:rsidRDefault="008E5F89" w:rsidP="008E5F89">
      <w:pPr>
        <w:tabs>
          <w:tab w:val="right" w:pos="9639"/>
        </w:tabs>
        <w:spacing w:before="140" w:after="0" w:line="280" w:lineRule="atLeast"/>
        <w:jc w:val="both"/>
        <w:rPr>
          <w:rFonts w:ascii="Calibri" w:eastAsia="Times New Roman" w:hAnsi="Calibri" w:cs="Calibri"/>
          <w:sz w:val="40"/>
          <w:szCs w:val="40"/>
          <w:lang w:val="en-GB" w:eastAsia="en-GB"/>
        </w:rPr>
      </w:pPr>
      <w:r w:rsidRPr="008E5F89">
        <w:rPr>
          <w:rFonts w:ascii="Calibri" w:eastAsia="Times New Roman" w:hAnsi="Calibri" w:cs="Calibri"/>
          <w:sz w:val="40"/>
          <w:szCs w:val="40"/>
          <w:lang w:val="en-GB" w:eastAsia="en-GB"/>
        </w:rPr>
        <w:t xml:space="preserve">Terms of Reference for a Working Group on technical aspects </w:t>
      </w:r>
      <w:bookmarkStart w:id="0" w:name="_Hlk72513651"/>
      <w:r w:rsidRPr="008E5F89">
        <w:rPr>
          <w:rFonts w:ascii="Calibri" w:eastAsia="Times New Roman" w:hAnsi="Calibri" w:cs="Calibri"/>
          <w:sz w:val="40"/>
          <w:szCs w:val="40"/>
          <w:lang w:val="en-GB" w:eastAsia="en-GB"/>
        </w:rPr>
        <w:t xml:space="preserve">related to MARPOL Annex VI monitoring activities </w:t>
      </w:r>
      <w:bookmarkEnd w:id="0"/>
      <w:r w:rsidRPr="008E5F89">
        <w:rPr>
          <w:rFonts w:ascii="Calibri" w:eastAsia="Times New Roman" w:hAnsi="Calibri" w:cs="Calibri"/>
          <w:sz w:val="40"/>
          <w:szCs w:val="40"/>
          <w:lang w:val="en-GB" w:eastAsia="en-GB"/>
        </w:rPr>
        <w:t>(MAVI-TWG)</w:t>
      </w:r>
    </w:p>
    <w:p w14:paraId="1167C2AF" w14:textId="77777777" w:rsidR="008E5F89" w:rsidRPr="008E5F89" w:rsidRDefault="008E5F89" w:rsidP="008E5F89">
      <w:pPr>
        <w:tabs>
          <w:tab w:val="left" w:pos="1134"/>
          <w:tab w:val="left" w:pos="1701"/>
          <w:tab w:val="left" w:pos="2268"/>
        </w:tabs>
        <w:spacing w:after="0" w:line="240" w:lineRule="auto"/>
        <w:ind w:right="72"/>
        <w:jc w:val="both"/>
        <w:rPr>
          <w:rFonts w:ascii="Calibri" w:eastAsia="Times New Roman" w:hAnsi="Calibri" w:cs="Calibri"/>
          <w:b/>
          <w:sz w:val="22"/>
          <w:lang w:val="en-GB" w:eastAsia="en-GB"/>
        </w:rPr>
      </w:pPr>
    </w:p>
    <w:p w14:paraId="54A46494" w14:textId="77777777" w:rsidR="008E5F89" w:rsidRPr="008E5F89" w:rsidRDefault="008E5F89" w:rsidP="008E5F89">
      <w:pPr>
        <w:tabs>
          <w:tab w:val="left" w:pos="567"/>
          <w:tab w:val="left" w:pos="1134"/>
          <w:tab w:val="left" w:pos="1701"/>
          <w:tab w:val="left" w:pos="2268"/>
        </w:tabs>
        <w:spacing w:after="120" w:line="240" w:lineRule="auto"/>
        <w:jc w:val="both"/>
        <w:rPr>
          <w:rFonts w:ascii="Calibri" w:eastAsia="Times New Roman" w:hAnsi="Calibri" w:cs="Calibri"/>
          <w:b/>
          <w:sz w:val="22"/>
          <w:lang w:val="en-GB" w:eastAsia="en-GB"/>
        </w:rPr>
      </w:pPr>
      <w:r w:rsidRPr="008E5F89">
        <w:rPr>
          <w:rFonts w:ascii="Calibri" w:eastAsia="Times New Roman" w:hAnsi="Calibri" w:cs="Calibri"/>
          <w:b/>
          <w:sz w:val="22"/>
          <w:lang w:val="en-GB" w:eastAsia="en-GB"/>
        </w:rPr>
        <w:t>Background</w:t>
      </w:r>
    </w:p>
    <w:p w14:paraId="41B353AA" w14:textId="77777777" w:rsidR="008E5F89" w:rsidRPr="008E5F89" w:rsidRDefault="008E5F89" w:rsidP="008E5F89">
      <w:pPr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0" w:firstLine="0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8E5F89">
        <w:rPr>
          <w:rFonts w:ascii="Calibri" w:eastAsia="Times New Roman" w:hAnsi="Calibri" w:cs="Times New Roman"/>
          <w:sz w:val="22"/>
          <w:szCs w:val="20"/>
          <w:lang w:eastAsia="en-GB"/>
        </w:rPr>
        <w:t xml:space="preserve">The </w:t>
      </w:r>
      <w:r w:rsidRPr="008E5F89">
        <w:rPr>
          <w:rFonts w:ascii="Calibri" w:eastAsia="Times New Roman" w:hAnsi="Calibri" w:cs="Times New Roman"/>
          <w:color w:val="000000"/>
          <w:sz w:val="22"/>
          <w:szCs w:val="20"/>
          <w:lang w:val="en-GB" w:eastAsia="en-GB"/>
        </w:rPr>
        <w:t>MARPOL Annex VI Experts Workshop 2021</w:t>
      </w:r>
      <w:r w:rsidRPr="008E5F89">
        <w:rPr>
          <w:rFonts w:ascii="Calibri" w:eastAsia="Times New Roman" w:hAnsi="Calibri" w:cs="Times New Roman"/>
          <w:sz w:val="22"/>
          <w:szCs w:val="20"/>
          <w:lang w:eastAsia="en-GB"/>
        </w:rPr>
        <w:t xml:space="preserve"> (</w:t>
      </w:r>
      <w:r w:rsidRPr="008E5F89">
        <w:rPr>
          <w:rFonts w:ascii="Calibri" w:eastAsia="Times New Roman" w:hAnsi="Calibri" w:cs="Times New Roman"/>
          <w:color w:val="000000"/>
          <w:sz w:val="22"/>
          <w:szCs w:val="20"/>
          <w:lang w:val="en-GB" w:eastAsia="en-GB"/>
        </w:rPr>
        <w:t xml:space="preserve">MAVIEWS 21) </w:t>
      </w:r>
      <w:r w:rsidRPr="008E5F89">
        <w:rPr>
          <w:rFonts w:ascii="Calibri" w:eastAsia="Times New Roman" w:hAnsi="Calibri" w:cs="Times New Roman"/>
          <w:sz w:val="22"/>
          <w:szCs w:val="20"/>
          <w:lang w:eastAsia="en-GB"/>
        </w:rPr>
        <w:t xml:space="preserve">was held on 2 – 5 February 2021 to develop a common strategy and operational procedures on MARPOL Annex VI monitoring activities in the Bonn Agreement area. The Workshop concluded on a set of recommendations to be further explored through two working groups (WG) dealing with (1) strategic and operational aspects (MAVI-SOWG) and (2) technical aspects (MAVI-TWG) under the umbrella of OTSOPA. </w:t>
      </w:r>
    </w:p>
    <w:p w14:paraId="179D68B1" w14:textId="77777777" w:rsidR="008E5F89" w:rsidRPr="008E5F89" w:rsidRDefault="008E5F89" w:rsidP="008E5F89">
      <w:pPr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0" w:firstLine="0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8E5F89">
        <w:rPr>
          <w:rFonts w:ascii="Calibri" w:eastAsia="Times New Roman" w:hAnsi="Calibri" w:cs="Times New Roman"/>
          <w:sz w:val="22"/>
          <w:szCs w:val="20"/>
          <w:lang w:eastAsia="en-GB"/>
        </w:rPr>
        <w:t xml:space="preserve">As a follow up of the Workshop, Contracting Parties </w:t>
      </w:r>
      <w:r w:rsidRPr="008E5F89">
        <w:rPr>
          <w:rFonts w:ascii="Calibri" w:eastAsia="Times New Roman" w:hAnsi="Calibri" w:cs="Times New Roman"/>
          <w:color w:val="000000"/>
          <w:sz w:val="22"/>
          <w:szCs w:val="20"/>
          <w:lang w:val="en-GB" w:eastAsia="en-GB"/>
        </w:rPr>
        <w:t xml:space="preserve">were invited to submit the national representatives of the WGs and the </w:t>
      </w:r>
      <w:r w:rsidRPr="008E5F89">
        <w:rPr>
          <w:rFonts w:ascii="Calibri" w:eastAsia="Times New Roman" w:hAnsi="Calibri" w:cs="Times New Roman"/>
          <w:sz w:val="22"/>
          <w:szCs w:val="20"/>
          <w:lang w:eastAsia="en-GB"/>
        </w:rPr>
        <w:t>Co-convenors made a first attempt to subdivide the MAVIEWS 21 recommendations for both WG into a subset of actions that, on the one hand, are quick wins and in-kind actions (mainly on info exchange, regular tasks and national operations) that would require limited additional effort, and, on the other hand, actions that would need more resources and therefore a project with external funding.</w:t>
      </w:r>
    </w:p>
    <w:p w14:paraId="0CC6102B" w14:textId="77777777" w:rsidR="008E5F89" w:rsidRPr="008E5F89" w:rsidRDefault="008E5F89" w:rsidP="008E5F89">
      <w:pPr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0" w:firstLine="0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8E5F89">
        <w:rPr>
          <w:rFonts w:ascii="Calibri" w:eastAsia="Times New Roman" w:hAnsi="Calibri" w:cs="Times New Roman"/>
          <w:sz w:val="22"/>
          <w:szCs w:val="20"/>
          <w:lang w:eastAsia="en-GB"/>
        </w:rPr>
        <w:t xml:space="preserve">BONN 2021 agreed on the Terms of Reference (ToR) of a WG on technical aspects related to MARPOL Annex VI monitoring activities (MAVI-TWG) as in </w:t>
      </w:r>
      <w:r w:rsidRPr="008E5F89">
        <w:rPr>
          <w:rFonts w:ascii="Calibri" w:eastAsia="Times New Roman" w:hAnsi="Calibri" w:cs="Calibri"/>
          <w:sz w:val="22"/>
          <w:lang w:val="en-GB" w:eastAsia="en-GB"/>
        </w:rPr>
        <w:t xml:space="preserve">Annex 8 of BONN 2021 Summary Record. OTSOPA 2022 decided to update the ToR to reflect a </w:t>
      </w:r>
      <w:r w:rsidRPr="008E5F89">
        <w:rPr>
          <w:rFonts w:ascii="Calibri" w:eastAsia="Calibri" w:hAnsi="Calibri" w:cs="Calibri"/>
          <w:color w:val="000000"/>
          <w:sz w:val="22"/>
          <w:lang w:val="en-GB" w:eastAsia="en-GB"/>
        </w:rPr>
        <w:t>tiered approach: the working groups would be activated focusing on the quick -wins first and, in a later stage, the project proposal could be submitted.</w:t>
      </w:r>
    </w:p>
    <w:p w14:paraId="2566E823" w14:textId="77777777" w:rsidR="008E5F89" w:rsidRPr="008E5F89" w:rsidRDefault="008E5F89" w:rsidP="008E5F89">
      <w:pPr>
        <w:tabs>
          <w:tab w:val="left" w:pos="567"/>
          <w:tab w:val="left" w:pos="1134"/>
          <w:tab w:val="left" w:pos="1701"/>
          <w:tab w:val="left" w:pos="2268"/>
        </w:tabs>
        <w:spacing w:before="120" w:after="0" w:line="240" w:lineRule="auto"/>
        <w:jc w:val="both"/>
        <w:rPr>
          <w:rFonts w:ascii="Calibri" w:eastAsia="Times New Roman" w:hAnsi="Calibri" w:cs="Calibri"/>
          <w:b/>
          <w:sz w:val="22"/>
          <w:szCs w:val="20"/>
          <w:lang w:val="en-GB" w:eastAsia="en-GB"/>
        </w:rPr>
      </w:pPr>
      <w:r w:rsidRPr="008E5F89">
        <w:rPr>
          <w:rFonts w:ascii="Calibri" w:eastAsia="Times New Roman" w:hAnsi="Calibri" w:cs="Calibri"/>
          <w:b/>
          <w:sz w:val="22"/>
          <w:szCs w:val="20"/>
          <w:lang w:val="en-GB" w:eastAsia="en-GB"/>
        </w:rPr>
        <w:t>Objective</w:t>
      </w:r>
    </w:p>
    <w:p w14:paraId="77E44820" w14:textId="77777777" w:rsidR="008E5F89" w:rsidRPr="008E5F89" w:rsidRDefault="008E5F89" w:rsidP="008E5F89">
      <w:pPr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0" w:firstLine="0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8E5F89">
        <w:rPr>
          <w:rFonts w:ascii="Calibri" w:eastAsia="Times New Roman" w:hAnsi="Calibri" w:cs="Times New Roman"/>
          <w:sz w:val="22"/>
          <w:szCs w:val="20"/>
          <w:lang w:eastAsia="en-GB"/>
        </w:rPr>
        <w:t xml:space="preserve">To address the </w:t>
      </w:r>
      <w:r w:rsidRPr="008E5F89">
        <w:rPr>
          <w:rFonts w:ascii="Calibri" w:eastAsia="Times New Roman" w:hAnsi="Calibri" w:cs="Times New Roman"/>
          <w:color w:val="000000"/>
          <w:sz w:val="22"/>
          <w:szCs w:val="20"/>
          <w:lang w:val="en-GB" w:eastAsia="en-GB"/>
        </w:rPr>
        <w:t xml:space="preserve">quick win or in-kind actions on </w:t>
      </w:r>
      <w:r w:rsidRPr="008E5F89">
        <w:rPr>
          <w:rFonts w:ascii="Calibri" w:eastAsia="Times New Roman" w:hAnsi="Calibri" w:cs="Times New Roman"/>
          <w:sz w:val="22"/>
          <w:szCs w:val="20"/>
          <w:lang w:val="en-GB" w:eastAsia="en-GB"/>
        </w:rPr>
        <w:t>technical</w:t>
      </w:r>
      <w:r w:rsidRPr="008E5F89">
        <w:rPr>
          <w:rFonts w:ascii="Calibri" w:eastAsia="Times New Roman" w:hAnsi="Calibri" w:cs="Times New Roman"/>
          <w:sz w:val="22"/>
          <w:szCs w:val="20"/>
          <w:lang w:eastAsia="en-GB"/>
        </w:rPr>
        <w:t xml:space="preserve"> aspects related to MARPOL Annex VI monitoring activities in the Bonn Agreement area</w:t>
      </w:r>
      <w:r w:rsidRPr="008E5F89">
        <w:rPr>
          <w:rFonts w:ascii="Calibri" w:eastAsia="Times New Roman" w:hAnsi="Calibri" w:cs="Times New Roman"/>
          <w:color w:val="000000"/>
          <w:sz w:val="22"/>
          <w:szCs w:val="20"/>
          <w:lang w:eastAsia="en-GB"/>
        </w:rPr>
        <w:t xml:space="preserve"> </w:t>
      </w:r>
      <w:r w:rsidRPr="008E5F89">
        <w:rPr>
          <w:rFonts w:ascii="Calibri" w:eastAsia="Times New Roman" w:hAnsi="Calibri" w:cs="Times New Roman"/>
          <w:color w:val="000000"/>
          <w:sz w:val="22"/>
          <w:szCs w:val="20"/>
          <w:lang w:val="en-GB" w:eastAsia="en-GB"/>
        </w:rPr>
        <w:t xml:space="preserve">listed under </w:t>
      </w:r>
      <w:r w:rsidRPr="008E5F89">
        <w:rPr>
          <w:rFonts w:ascii="Calibri" w:eastAsia="Times New Roman" w:hAnsi="Calibri" w:cs="Calibri"/>
          <w:color w:val="000000"/>
          <w:sz w:val="22"/>
          <w:szCs w:val="20"/>
          <w:lang w:val="en-GB" w:eastAsia="en-GB"/>
        </w:rPr>
        <w:t>§9</w:t>
      </w:r>
      <w:r w:rsidRPr="008E5F89">
        <w:rPr>
          <w:rFonts w:ascii="Calibri" w:eastAsia="Times New Roman" w:hAnsi="Calibri" w:cs="Times New Roman"/>
          <w:color w:val="000000"/>
          <w:sz w:val="22"/>
          <w:szCs w:val="20"/>
          <w:lang w:val="en-GB" w:eastAsia="en-GB"/>
        </w:rPr>
        <w:t>, distributing the workload among the Contracting Parties</w:t>
      </w:r>
      <w:r w:rsidRPr="008E5F89">
        <w:rPr>
          <w:rFonts w:ascii="Calibri" w:eastAsia="Times New Roman" w:hAnsi="Calibri" w:cs="Times New Roman"/>
          <w:sz w:val="22"/>
          <w:szCs w:val="20"/>
          <w:lang w:eastAsia="en-GB"/>
        </w:rPr>
        <w:t>.</w:t>
      </w:r>
    </w:p>
    <w:p w14:paraId="0BAFE36C" w14:textId="77777777" w:rsidR="008E5F89" w:rsidRPr="008E5F89" w:rsidRDefault="008E5F89" w:rsidP="008E5F89">
      <w:pPr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0" w:firstLine="0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8E5F89">
        <w:rPr>
          <w:rFonts w:ascii="Calibri" w:eastAsia="Times New Roman" w:hAnsi="Calibri" w:cs="Times New Roman"/>
          <w:color w:val="000000"/>
          <w:sz w:val="22"/>
          <w:szCs w:val="20"/>
          <w:lang w:val="en-GB" w:eastAsia="en-GB"/>
        </w:rPr>
        <w:t>To liaise with MAVI-SOWG to address those recommended actions which are both a strategic/operational, and a technical question or challenge (</w:t>
      </w:r>
      <w:proofErr w:type="gramStart"/>
      <w:r w:rsidRPr="008E5F89">
        <w:rPr>
          <w:rFonts w:ascii="Calibri" w:eastAsia="Times New Roman" w:hAnsi="Calibri" w:cs="Times New Roman"/>
          <w:color w:val="000000"/>
          <w:sz w:val="22"/>
          <w:szCs w:val="20"/>
          <w:lang w:val="en-GB" w:eastAsia="en-GB"/>
        </w:rPr>
        <w:t>e.g.</w:t>
      </w:r>
      <w:proofErr w:type="gramEnd"/>
      <w:r w:rsidRPr="008E5F89">
        <w:rPr>
          <w:rFonts w:ascii="Calibri" w:eastAsia="Times New Roman" w:hAnsi="Calibri" w:cs="Times New Roman"/>
          <w:color w:val="000000"/>
          <w:sz w:val="22"/>
          <w:szCs w:val="20"/>
          <w:lang w:val="en-GB" w:eastAsia="en-GB"/>
        </w:rPr>
        <w:t xml:space="preserve"> use of a threshold; standardised reporting; intercomparison and validation efforts, etc.), and imply some degree of coordination.</w:t>
      </w:r>
    </w:p>
    <w:p w14:paraId="75B45A02" w14:textId="77777777" w:rsidR="008E5F89" w:rsidRPr="008E5F89" w:rsidRDefault="008E5F89" w:rsidP="008E5F89">
      <w:pPr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0" w:firstLine="0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8E5F89">
        <w:rPr>
          <w:rFonts w:ascii="Calibri" w:eastAsia="Times New Roman" w:hAnsi="Calibri" w:cs="Times New Roman"/>
          <w:sz w:val="22"/>
          <w:szCs w:val="20"/>
          <w:lang w:eastAsia="en-GB"/>
        </w:rPr>
        <w:t xml:space="preserve">To support the potential project coordinator in delivering the actions which might require external funding listed under </w:t>
      </w:r>
      <w:r w:rsidRPr="008E5F89">
        <w:rPr>
          <w:rFonts w:ascii="Calibri" w:eastAsia="Times New Roman" w:hAnsi="Calibri" w:cs="Calibri"/>
          <w:color w:val="000000"/>
          <w:sz w:val="22"/>
          <w:szCs w:val="20"/>
          <w:lang w:val="en-GB" w:eastAsia="en-GB"/>
        </w:rPr>
        <w:t>§10</w:t>
      </w:r>
      <w:r w:rsidRPr="008E5F89">
        <w:rPr>
          <w:rFonts w:ascii="Calibri" w:eastAsia="Times New Roman" w:hAnsi="Calibri" w:cs="Times New Roman"/>
          <w:color w:val="000000"/>
          <w:sz w:val="22"/>
          <w:szCs w:val="20"/>
          <w:lang w:val="en-GB" w:eastAsia="en-GB"/>
        </w:rPr>
        <w:t>.</w:t>
      </w:r>
    </w:p>
    <w:p w14:paraId="22EDEC46" w14:textId="77777777" w:rsidR="008E5F89" w:rsidRPr="008E5F89" w:rsidRDefault="008E5F89" w:rsidP="008E5F89">
      <w:pPr>
        <w:keepNext/>
        <w:tabs>
          <w:tab w:val="left" w:pos="567"/>
          <w:tab w:val="left" w:pos="1134"/>
          <w:tab w:val="left" w:pos="1701"/>
          <w:tab w:val="left" w:pos="2268"/>
        </w:tabs>
        <w:spacing w:before="120" w:after="0" w:line="240" w:lineRule="auto"/>
        <w:jc w:val="both"/>
        <w:rPr>
          <w:rFonts w:ascii="Calibri" w:eastAsia="Times New Roman" w:hAnsi="Calibri" w:cs="Calibri"/>
          <w:b/>
          <w:sz w:val="22"/>
          <w:szCs w:val="20"/>
          <w:lang w:val="en-GB" w:eastAsia="en-GB"/>
        </w:rPr>
      </w:pPr>
      <w:r w:rsidRPr="008E5F89">
        <w:rPr>
          <w:rFonts w:ascii="Calibri" w:eastAsia="Times New Roman" w:hAnsi="Calibri" w:cs="Calibri"/>
          <w:b/>
          <w:sz w:val="22"/>
          <w:szCs w:val="20"/>
          <w:lang w:val="en-GB" w:eastAsia="en-GB"/>
        </w:rPr>
        <w:t>Participants</w:t>
      </w:r>
    </w:p>
    <w:p w14:paraId="63743A03" w14:textId="29286D16" w:rsidR="008E5F89" w:rsidRPr="00441C55" w:rsidRDefault="008E5F89" w:rsidP="00441C55">
      <w:pPr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120" w:line="240" w:lineRule="auto"/>
        <w:ind w:left="0" w:firstLine="0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8E5F89">
        <w:rPr>
          <w:rFonts w:ascii="Calibri" w:eastAsia="Times New Roman" w:hAnsi="Calibri" w:cs="Times New Roman"/>
          <w:sz w:val="22"/>
          <w:szCs w:val="20"/>
          <w:lang w:eastAsia="en-GB"/>
        </w:rPr>
        <w:t xml:space="preserve">The </w:t>
      </w:r>
      <w:r w:rsidR="00E1511E">
        <w:rPr>
          <w:rFonts w:ascii="Calibri" w:eastAsia="Times New Roman" w:hAnsi="Calibri" w:cs="Times New Roman"/>
          <w:sz w:val="22"/>
          <w:szCs w:val="20"/>
          <w:lang w:eastAsia="en-GB"/>
        </w:rPr>
        <w:t>WG</w:t>
      </w:r>
      <w:r w:rsidR="00E1511E" w:rsidRPr="008E5F89">
        <w:rPr>
          <w:rFonts w:ascii="Calibri" w:eastAsia="Times New Roman" w:hAnsi="Calibri" w:cs="Times New Roman"/>
          <w:sz w:val="22"/>
          <w:szCs w:val="20"/>
          <w:lang w:eastAsia="en-GB"/>
        </w:rPr>
        <w:t xml:space="preserve"> </w:t>
      </w:r>
      <w:r w:rsidRPr="008E5F89">
        <w:rPr>
          <w:rFonts w:ascii="Calibri" w:eastAsia="Times New Roman" w:hAnsi="Calibri" w:cs="Times New Roman"/>
          <w:sz w:val="22"/>
          <w:szCs w:val="20"/>
          <w:lang w:eastAsia="en-GB"/>
        </w:rPr>
        <w:t xml:space="preserve">will be co-convened by </w:t>
      </w:r>
      <w:r w:rsidRPr="008E5F89">
        <w:rPr>
          <w:rFonts w:ascii="Calibri" w:eastAsia="Times New Roman" w:hAnsi="Calibri" w:cs="Calibri"/>
          <w:sz w:val="22"/>
          <w:lang w:eastAsia="en-GB"/>
        </w:rPr>
        <w:t>Ward Van Roy from</w:t>
      </w:r>
      <w:r w:rsidRPr="008E5F89">
        <w:rPr>
          <w:rFonts w:ascii="Calibri" w:eastAsia="Times New Roman" w:hAnsi="Calibri" w:cs="Times New Roman"/>
          <w:sz w:val="22"/>
          <w:szCs w:val="20"/>
          <w:lang w:eastAsia="en-GB"/>
        </w:rPr>
        <w:t xml:space="preserve"> Belgium </w:t>
      </w:r>
      <w:r w:rsidRPr="008E5F89">
        <w:rPr>
          <w:rFonts w:asciiTheme="minorHAnsi" w:hAnsiTheme="minorHAnsi" w:cstheme="minorHAnsi"/>
          <w:sz w:val="22"/>
          <w:lang w:val="en-GB"/>
        </w:rPr>
        <w:t xml:space="preserve">and </w:t>
      </w:r>
      <w:r w:rsidRPr="008E5F89">
        <w:rPr>
          <w:rFonts w:ascii="Calibri" w:eastAsia="Times New Roman" w:hAnsi="Calibri" w:cs="Calibri"/>
          <w:sz w:val="22"/>
          <w:lang w:eastAsia="en-GB"/>
        </w:rPr>
        <w:t xml:space="preserve">Andreas Weigelt from </w:t>
      </w:r>
      <w:r w:rsidRPr="008E5F89">
        <w:rPr>
          <w:rFonts w:eastAsia="Times New Roman" w:cs="Calibri"/>
          <w:szCs w:val="18"/>
          <w:lang w:eastAsia="en-GB"/>
        </w:rPr>
        <w:t>Germany</w:t>
      </w:r>
      <w:r w:rsidRPr="008E5F89">
        <w:rPr>
          <w:rFonts w:ascii="Calibri" w:eastAsia="Times New Roman" w:hAnsi="Calibri" w:cs="Times New Roman"/>
          <w:sz w:val="22"/>
          <w:szCs w:val="20"/>
          <w:lang w:eastAsia="en-GB"/>
        </w:rPr>
        <w:t xml:space="preserve"> with </w:t>
      </w:r>
      <w:r w:rsidR="00924327">
        <w:rPr>
          <w:rFonts w:ascii="Calibri" w:eastAsia="Times New Roman" w:hAnsi="Calibri" w:cs="Times New Roman"/>
          <w:sz w:val="22"/>
          <w:szCs w:val="20"/>
          <w:lang w:eastAsia="en-GB"/>
        </w:rPr>
        <w:t xml:space="preserve">an active </w:t>
      </w:r>
      <w:r w:rsidRPr="008E5F89">
        <w:rPr>
          <w:rFonts w:ascii="Calibri" w:eastAsia="Times New Roman" w:hAnsi="Calibri" w:cs="Times New Roman"/>
          <w:sz w:val="22"/>
          <w:szCs w:val="20"/>
          <w:lang w:eastAsia="en-GB"/>
        </w:rPr>
        <w:t xml:space="preserve">participation </w:t>
      </w:r>
      <w:r w:rsidR="00924327">
        <w:rPr>
          <w:rFonts w:ascii="Calibri" w:eastAsia="Times New Roman" w:hAnsi="Calibri" w:cs="Times New Roman"/>
          <w:sz w:val="22"/>
          <w:szCs w:val="20"/>
          <w:lang w:eastAsia="en-GB"/>
        </w:rPr>
        <w:t>of</w:t>
      </w:r>
      <w:r w:rsidRPr="008E5F89">
        <w:rPr>
          <w:rFonts w:ascii="Calibri" w:eastAsia="Times New Roman" w:hAnsi="Calibri" w:cs="Times New Roman"/>
          <w:sz w:val="22"/>
          <w:szCs w:val="20"/>
          <w:lang w:eastAsia="en-GB"/>
        </w:rPr>
        <w:t xml:space="preserve"> all Contracting Parties</w:t>
      </w:r>
      <w:r w:rsidR="00924327">
        <w:rPr>
          <w:rFonts w:ascii="Calibri" w:eastAsia="Times New Roman" w:hAnsi="Calibri" w:cs="Times New Roman"/>
          <w:sz w:val="22"/>
          <w:szCs w:val="20"/>
          <w:lang w:eastAsia="en-GB"/>
        </w:rPr>
        <w:t xml:space="preserve"> to the WG meetings. In addition, </w:t>
      </w:r>
      <w:r w:rsidRPr="008E5F89">
        <w:rPr>
          <w:rFonts w:ascii="Calibri" w:eastAsia="Times New Roman" w:hAnsi="Calibri" w:cs="Times New Roman"/>
          <w:sz w:val="22"/>
          <w:szCs w:val="20"/>
          <w:lang w:eastAsia="en-GB"/>
        </w:rPr>
        <w:t>the co-convenors of the MAVI-SOWG</w:t>
      </w:r>
      <w:r w:rsidR="00924327" w:rsidRPr="00924327">
        <w:rPr>
          <w:rFonts w:ascii="Calibri" w:eastAsia="Times New Roman" w:hAnsi="Calibri" w:cs="Times New Roman"/>
          <w:sz w:val="22"/>
          <w:szCs w:val="20"/>
          <w:lang w:eastAsia="en-GB"/>
        </w:rPr>
        <w:t xml:space="preserve"> </w:t>
      </w:r>
      <w:r w:rsidR="00924327">
        <w:rPr>
          <w:rFonts w:ascii="Calibri" w:eastAsia="Times New Roman" w:hAnsi="Calibri" w:cs="Times New Roman"/>
          <w:sz w:val="22"/>
          <w:szCs w:val="20"/>
          <w:lang w:eastAsia="en-GB"/>
        </w:rPr>
        <w:t>are invited to join the meetings</w:t>
      </w:r>
      <w:r w:rsidRPr="008E5F89">
        <w:rPr>
          <w:rFonts w:ascii="Calibri" w:eastAsia="Times New Roman" w:hAnsi="Calibri" w:cs="Times New Roman"/>
          <w:sz w:val="22"/>
          <w:szCs w:val="20"/>
          <w:lang w:eastAsia="en-GB"/>
        </w:rPr>
        <w:t>. Experts can also participate in the WG if requested by Contracting Parties with a justification (BONN 22/12/1 Annex 6).</w:t>
      </w:r>
      <w:r w:rsidR="00441C55">
        <w:rPr>
          <w:rFonts w:ascii="Calibri" w:eastAsia="Times New Roman" w:hAnsi="Calibri" w:cs="Times New Roman"/>
          <w:sz w:val="22"/>
          <w:szCs w:val="20"/>
          <w:lang w:eastAsia="en-GB"/>
        </w:rPr>
        <w:br w:type="page"/>
      </w:r>
    </w:p>
    <w:p w14:paraId="1F1A5688" w14:textId="77777777" w:rsidR="008E5F89" w:rsidRPr="008E5F89" w:rsidRDefault="008E5F89" w:rsidP="00880213">
      <w:pPr>
        <w:keepNext/>
        <w:tabs>
          <w:tab w:val="left" w:pos="567"/>
          <w:tab w:val="left" w:pos="1134"/>
          <w:tab w:val="left" w:pos="1701"/>
          <w:tab w:val="left" w:pos="2268"/>
        </w:tabs>
        <w:spacing w:before="240" w:after="0" w:line="240" w:lineRule="auto"/>
        <w:jc w:val="both"/>
        <w:rPr>
          <w:rFonts w:ascii="Calibri" w:eastAsia="Times New Roman" w:hAnsi="Calibri" w:cs="Calibri"/>
          <w:b/>
          <w:sz w:val="22"/>
          <w:szCs w:val="20"/>
          <w:lang w:val="en-GB" w:eastAsia="en-GB"/>
        </w:rPr>
      </w:pPr>
      <w:bookmarkStart w:id="1" w:name="_Hlk72512770"/>
      <w:r w:rsidRPr="008E5F89">
        <w:rPr>
          <w:rFonts w:ascii="Calibri" w:eastAsia="Times New Roman" w:hAnsi="Calibri" w:cs="Calibri"/>
          <w:b/>
          <w:sz w:val="22"/>
          <w:szCs w:val="20"/>
          <w:lang w:val="en-GB" w:eastAsia="en-GB"/>
        </w:rPr>
        <w:lastRenderedPageBreak/>
        <w:t>Work arrangements</w:t>
      </w:r>
    </w:p>
    <w:bookmarkEnd w:id="1"/>
    <w:p w14:paraId="50765A60" w14:textId="77777777" w:rsidR="008E5F89" w:rsidRPr="008E5F89" w:rsidRDefault="008E5F89" w:rsidP="008E5F89">
      <w:pPr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0" w:firstLine="0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8E5F89">
        <w:rPr>
          <w:rFonts w:ascii="Calibri" w:eastAsia="Times New Roman" w:hAnsi="Calibri" w:cs="Times New Roman"/>
          <w:sz w:val="22"/>
          <w:szCs w:val="20"/>
          <w:lang w:eastAsia="en-GB"/>
        </w:rPr>
        <w:t>The WG will work via correspondence and hold the following meetings:</w:t>
      </w:r>
    </w:p>
    <w:p w14:paraId="6775ECD7" w14:textId="77777777" w:rsidR="008E5F89" w:rsidRPr="008E5F89" w:rsidRDefault="008E5F89" w:rsidP="008E5F89">
      <w:pPr>
        <w:numPr>
          <w:ilvl w:val="1"/>
          <w:numId w:val="24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8E5F89">
        <w:rPr>
          <w:rFonts w:ascii="Calibri" w:eastAsia="Times New Roman" w:hAnsi="Calibri" w:cs="Times New Roman"/>
          <w:sz w:val="22"/>
          <w:szCs w:val="20"/>
          <w:lang w:eastAsia="en-GB"/>
        </w:rPr>
        <w:t xml:space="preserve">monthly online WG meetings in the startup phase and bimonthly </w:t>
      </w:r>
      <w:proofErr w:type="gramStart"/>
      <w:r w:rsidRPr="008E5F89">
        <w:rPr>
          <w:rFonts w:ascii="Calibri" w:eastAsia="Times New Roman" w:hAnsi="Calibri" w:cs="Times New Roman"/>
          <w:sz w:val="22"/>
          <w:szCs w:val="20"/>
          <w:lang w:eastAsia="en-GB"/>
        </w:rPr>
        <w:t>afterwards;</w:t>
      </w:r>
      <w:proofErr w:type="gramEnd"/>
    </w:p>
    <w:p w14:paraId="320BD763" w14:textId="77777777" w:rsidR="008E5F89" w:rsidRPr="008E5F89" w:rsidRDefault="008E5F89" w:rsidP="008E5F89">
      <w:pPr>
        <w:numPr>
          <w:ilvl w:val="1"/>
          <w:numId w:val="24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8E5F89">
        <w:rPr>
          <w:rFonts w:ascii="Calibri" w:eastAsia="Times New Roman" w:hAnsi="Calibri" w:cs="Times New Roman"/>
          <w:color w:val="000000"/>
          <w:sz w:val="22"/>
          <w:szCs w:val="20"/>
          <w:lang w:val="en-GB" w:eastAsia="en-GB"/>
        </w:rPr>
        <w:t xml:space="preserve">an annual physical </w:t>
      </w:r>
      <w:proofErr w:type="gramStart"/>
      <w:r w:rsidRPr="008E5F89">
        <w:rPr>
          <w:rFonts w:ascii="Calibri" w:eastAsia="Times New Roman" w:hAnsi="Calibri" w:cs="Times New Roman"/>
          <w:color w:val="000000"/>
          <w:sz w:val="22"/>
          <w:szCs w:val="20"/>
          <w:lang w:val="en-GB" w:eastAsia="en-GB"/>
        </w:rPr>
        <w:t>inter</w:t>
      </w:r>
      <w:proofErr w:type="gramEnd"/>
      <w:r w:rsidRPr="008E5F89">
        <w:rPr>
          <w:rFonts w:ascii="Calibri" w:eastAsia="Times New Roman" w:hAnsi="Calibri" w:cs="Times New Roman"/>
          <w:color w:val="000000"/>
          <w:sz w:val="22"/>
          <w:szCs w:val="20"/>
          <w:lang w:val="en-GB" w:eastAsia="en-GB"/>
        </w:rPr>
        <w:t xml:space="preserve"> WG meeting (e.g. prior or back to back to OTSOPA) (Belgium is of the opinion that this coordination between both WGs could even be further optimized when </w:t>
      </w:r>
      <w:r w:rsidRPr="008E5F89">
        <w:rPr>
          <w:rFonts w:ascii="Calibri" w:eastAsia="Times New Roman" w:hAnsi="Calibri" w:cs="Times New Roman"/>
          <w:sz w:val="22"/>
          <w:szCs w:val="20"/>
          <w:lang w:val="en-GB" w:eastAsia="en-GB"/>
        </w:rPr>
        <w:t>needed, by for example bimonthly online inter WG-leader meetings): and</w:t>
      </w:r>
    </w:p>
    <w:p w14:paraId="0B52BE4B" w14:textId="77777777" w:rsidR="008E5F89" w:rsidRPr="008E5F89" w:rsidRDefault="008E5F89" w:rsidP="008E5F89">
      <w:pPr>
        <w:numPr>
          <w:ilvl w:val="1"/>
          <w:numId w:val="24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8E5F89">
        <w:rPr>
          <w:rFonts w:ascii="Calibri" w:eastAsia="Times New Roman" w:hAnsi="Calibri" w:cs="Times New Roman"/>
          <w:color w:val="000000"/>
          <w:sz w:val="22"/>
          <w:szCs w:val="20"/>
          <w:lang w:val="en-GB" w:eastAsia="en-GB"/>
        </w:rPr>
        <w:t xml:space="preserve">semestrial meetings between the OTSOPA Chair, WG leaders and the (potential) project coordinator. </w:t>
      </w:r>
    </w:p>
    <w:p w14:paraId="005B081C" w14:textId="77777777" w:rsidR="008E5F89" w:rsidRPr="008E5F89" w:rsidRDefault="008E5F89" w:rsidP="008E5F89">
      <w:pPr>
        <w:keepNext/>
        <w:tabs>
          <w:tab w:val="left" w:pos="567"/>
          <w:tab w:val="left" w:pos="1134"/>
          <w:tab w:val="left" w:pos="1701"/>
          <w:tab w:val="left" w:pos="2268"/>
        </w:tabs>
        <w:spacing w:before="120" w:after="0" w:line="240" w:lineRule="auto"/>
        <w:jc w:val="both"/>
        <w:rPr>
          <w:rFonts w:ascii="Calibri" w:eastAsia="Times New Roman" w:hAnsi="Calibri" w:cs="Calibri"/>
          <w:b/>
          <w:sz w:val="22"/>
          <w:szCs w:val="20"/>
          <w:lang w:val="en-GB" w:eastAsia="en-GB"/>
        </w:rPr>
      </w:pPr>
      <w:r w:rsidRPr="008E5F89">
        <w:rPr>
          <w:rFonts w:ascii="Calibri" w:eastAsia="Times New Roman" w:hAnsi="Calibri" w:cs="Calibri"/>
          <w:b/>
          <w:sz w:val="22"/>
          <w:szCs w:val="20"/>
          <w:lang w:val="en-GB" w:eastAsia="en-GB"/>
        </w:rPr>
        <w:t>Quick wins and in-kind actions</w:t>
      </w:r>
    </w:p>
    <w:p w14:paraId="3F52CAE0" w14:textId="77777777" w:rsidR="008E5F89" w:rsidRPr="008E5F89" w:rsidRDefault="008E5F89" w:rsidP="008E5F89">
      <w:pPr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0" w:firstLine="0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8E5F89">
        <w:rPr>
          <w:rFonts w:ascii="Calibri" w:eastAsia="Times New Roman" w:hAnsi="Calibri" w:cs="Times New Roman"/>
          <w:sz w:val="22"/>
          <w:szCs w:val="20"/>
          <w:lang w:eastAsia="en-GB"/>
        </w:rPr>
        <w:t>The WG will address the following Quick wins and in-kind actions:</w:t>
      </w:r>
    </w:p>
    <w:p w14:paraId="663DCFC3" w14:textId="77777777" w:rsidR="008E5F89" w:rsidRPr="008E5F89" w:rsidRDefault="008E5F89" w:rsidP="008E5F89">
      <w:pPr>
        <w:numPr>
          <w:ilvl w:val="1"/>
          <w:numId w:val="24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val="en-GB" w:eastAsia="en-GB"/>
        </w:rPr>
      </w:pPr>
      <w:r w:rsidRPr="008E5F89">
        <w:rPr>
          <w:rFonts w:ascii="Calibri" w:eastAsia="Times New Roman" w:hAnsi="Calibri" w:cs="Times New Roman"/>
          <w:sz w:val="22"/>
          <w:szCs w:val="20"/>
          <w:lang w:val="en-GB" w:eastAsia="en-GB"/>
        </w:rPr>
        <w:t>Consider the recent sensor developments, also for drones (</w:t>
      </w:r>
      <w:proofErr w:type="gramStart"/>
      <w:r w:rsidRPr="008E5F89">
        <w:rPr>
          <w:rFonts w:ascii="Calibri" w:eastAsia="Times New Roman" w:hAnsi="Calibri" w:cs="Times New Roman"/>
          <w:sz w:val="22"/>
          <w:szCs w:val="20"/>
          <w:lang w:val="en-GB" w:eastAsia="en-GB"/>
        </w:rPr>
        <w:t>e.g.</w:t>
      </w:r>
      <w:proofErr w:type="gramEnd"/>
      <w:r w:rsidRPr="008E5F89">
        <w:rPr>
          <w:rFonts w:ascii="Calibri" w:eastAsia="Times New Roman" w:hAnsi="Calibri" w:cs="Times New Roman"/>
          <w:sz w:val="22"/>
          <w:szCs w:val="20"/>
          <w:lang w:val="en-GB" w:eastAsia="en-GB"/>
        </w:rPr>
        <w:t xml:space="preserve"> optical/laser sensors). </w:t>
      </w:r>
    </w:p>
    <w:p w14:paraId="6C5852A4" w14:textId="77777777" w:rsidR="008E5F89" w:rsidRPr="008E5F89" w:rsidRDefault="008E5F89" w:rsidP="008E5F89">
      <w:pPr>
        <w:numPr>
          <w:ilvl w:val="1"/>
          <w:numId w:val="24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val="en-GB" w:eastAsia="en-GB"/>
        </w:rPr>
      </w:pPr>
      <w:proofErr w:type="gramStart"/>
      <w:r w:rsidRPr="008E5F89">
        <w:rPr>
          <w:rFonts w:ascii="Calibri" w:eastAsia="Times New Roman" w:hAnsi="Calibri" w:cs="Times New Roman"/>
          <w:sz w:val="22"/>
          <w:szCs w:val="20"/>
          <w:lang w:val="en-GB" w:eastAsia="en-GB"/>
        </w:rPr>
        <w:t>Take into account</w:t>
      </w:r>
      <w:proofErr w:type="gramEnd"/>
      <w:r w:rsidRPr="008E5F89">
        <w:rPr>
          <w:rFonts w:ascii="Calibri" w:eastAsia="Times New Roman" w:hAnsi="Calibri" w:cs="Times New Roman"/>
          <w:sz w:val="22"/>
          <w:szCs w:val="20"/>
          <w:lang w:val="en-GB" w:eastAsia="en-GB"/>
        </w:rPr>
        <w:t xml:space="preserve"> national experience, ongoing operations and their recommendations, and the outcome of previous projects such as SCIPPER and COMPMON. </w:t>
      </w:r>
    </w:p>
    <w:p w14:paraId="13673F83" w14:textId="77777777" w:rsidR="008E5F89" w:rsidRPr="008E5F89" w:rsidRDefault="008E5F89" w:rsidP="008E5F89">
      <w:pPr>
        <w:numPr>
          <w:ilvl w:val="1"/>
          <w:numId w:val="24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val="en-GB" w:eastAsia="en-GB"/>
        </w:rPr>
      </w:pPr>
      <w:r w:rsidRPr="008E5F89">
        <w:rPr>
          <w:rFonts w:ascii="Calibri" w:eastAsia="Times New Roman" w:hAnsi="Calibri" w:cs="Times New Roman"/>
          <w:sz w:val="22"/>
          <w:szCs w:val="20"/>
          <w:lang w:val="en-GB" w:eastAsia="en-GB"/>
        </w:rPr>
        <w:t>Sharing best practices on NOx measurements and reporting (building upon the experience of Belgium and Germany).</w:t>
      </w:r>
    </w:p>
    <w:p w14:paraId="7AFC47A6" w14:textId="77777777" w:rsidR="008E5F89" w:rsidRPr="008E5F89" w:rsidRDefault="008E5F89" w:rsidP="008E5F89">
      <w:pPr>
        <w:keepNext/>
        <w:tabs>
          <w:tab w:val="left" w:pos="567"/>
          <w:tab w:val="left" w:pos="1134"/>
          <w:tab w:val="left" w:pos="1701"/>
          <w:tab w:val="left" w:pos="2268"/>
        </w:tabs>
        <w:spacing w:before="240" w:after="0" w:line="240" w:lineRule="auto"/>
        <w:jc w:val="both"/>
        <w:rPr>
          <w:rFonts w:ascii="Calibri" w:eastAsia="Times New Roman" w:hAnsi="Calibri" w:cs="Calibri"/>
          <w:b/>
          <w:sz w:val="22"/>
          <w:szCs w:val="20"/>
          <w:lang w:val="en-GB" w:eastAsia="en-GB"/>
        </w:rPr>
      </w:pPr>
      <w:bookmarkStart w:id="2" w:name="_Hlk137046618"/>
      <w:r w:rsidRPr="008E5F89">
        <w:rPr>
          <w:rFonts w:ascii="Calibri" w:eastAsia="Times New Roman" w:hAnsi="Calibri" w:cs="Calibri"/>
          <w:b/>
          <w:sz w:val="22"/>
          <w:szCs w:val="20"/>
          <w:lang w:val="en-GB" w:eastAsia="en-GB"/>
        </w:rPr>
        <w:t>Actions for which external funding might need to be considered (possible project-based actions)</w:t>
      </w:r>
    </w:p>
    <w:p w14:paraId="3B559AF3" w14:textId="77777777" w:rsidR="008E5F89" w:rsidRPr="008E5F89" w:rsidRDefault="008E5F89" w:rsidP="008E5F89">
      <w:pPr>
        <w:numPr>
          <w:ilvl w:val="0"/>
          <w:numId w:val="24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0" w:firstLine="0"/>
        <w:jc w:val="both"/>
        <w:rPr>
          <w:rFonts w:ascii="Calibri" w:eastAsia="Times New Roman" w:hAnsi="Calibri" w:cs="Times New Roman"/>
          <w:sz w:val="22"/>
          <w:szCs w:val="20"/>
          <w:lang w:eastAsia="en-GB"/>
        </w:rPr>
      </w:pPr>
      <w:r w:rsidRPr="008E5F89">
        <w:rPr>
          <w:rFonts w:ascii="Calibri" w:eastAsia="Times New Roman" w:hAnsi="Calibri" w:cs="Times New Roman"/>
          <w:sz w:val="22"/>
          <w:szCs w:val="20"/>
          <w:lang w:eastAsia="en-GB"/>
        </w:rPr>
        <w:t>The WG will support the project coordinator in the delivery of the following actions:</w:t>
      </w:r>
    </w:p>
    <w:p w14:paraId="5E2628A1" w14:textId="77777777" w:rsidR="008E5F89" w:rsidRPr="008E5F89" w:rsidRDefault="008E5F89" w:rsidP="008E5F89">
      <w:pPr>
        <w:numPr>
          <w:ilvl w:val="1"/>
          <w:numId w:val="24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val="en-GB" w:eastAsia="en-GB"/>
        </w:rPr>
      </w:pPr>
      <w:r w:rsidRPr="008E5F89">
        <w:rPr>
          <w:rFonts w:ascii="Calibri" w:eastAsia="Times New Roman" w:hAnsi="Calibri" w:cs="Times New Roman"/>
          <w:sz w:val="22"/>
          <w:szCs w:val="20"/>
          <w:lang w:val="en-GB" w:eastAsia="en-GB"/>
        </w:rPr>
        <w:t>Consider certifi</w:t>
      </w:r>
      <w:bookmarkEnd w:id="2"/>
      <w:r w:rsidRPr="008E5F89">
        <w:rPr>
          <w:rFonts w:ascii="Calibri" w:eastAsia="Times New Roman" w:hAnsi="Calibri" w:cs="Times New Roman"/>
          <w:sz w:val="22"/>
          <w:szCs w:val="20"/>
          <w:lang w:val="en-GB" w:eastAsia="en-GB"/>
        </w:rPr>
        <w:t>cation/standardization for SOx and NOx measurements (</w:t>
      </w:r>
      <w:proofErr w:type="gramStart"/>
      <w:r w:rsidRPr="008E5F89">
        <w:rPr>
          <w:rFonts w:ascii="Calibri" w:eastAsia="Times New Roman" w:hAnsi="Calibri" w:cs="Times New Roman"/>
          <w:sz w:val="22"/>
          <w:szCs w:val="20"/>
          <w:lang w:val="en-GB" w:eastAsia="en-GB"/>
        </w:rPr>
        <w:t>e.g.</w:t>
      </w:r>
      <w:proofErr w:type="gramEnd"/>
      <w:r w:rsidRPr="008E5F89">
        <w:rPr>
          <w:rFonts w:ascii="Calibri" w:eastAsia="Times New Roman" w:hAnsi="Calibri" w:cs="Times New Roman"/>
          <w:sz w:val="22"/>
          <w:szCs w:val="20"/>
          <w:lang w:val="en-GB" w:eastAsia="en-GB"/>
        </w:rPr>
        <w:t xml:space="preserve"> creation of CEN</w:t>
      </w:r>
      <w:r w:rsidRPr="008E5F89">
        <w:rPr>
          <w:rFonts w:ascii="Calibri" w:eastAsia="Times New Roman" w:hAnsi="Calibri" w:cs="Times New Roman"/>
          <w:sz w:val="22"/>
          <w:szCs w:val="20"/>
          <w:vertAlign w:val="superscript"/>
          <w:lang w:val="en-GB" w:eastAsia="en-GB"/>
        </w:rPr>
        <w:footnoteReference w:id="1"/>
      </w:r>
      <w:r w:rsidRPr="008E5F89">
        <w:rPr>
          <w:rFonts w:ascii="Calibri" w:eastAsia="Times New Roman" w:hAnsi="Calibri" w:cs="Times New Roman"/>
          <w:sz w:val="22"/>
          <w:szCs w:val="20"/>
          <w:lang w:val="en-GB" w:eastAsia="en-GB"/>
        </w:rPr>
        <w:t xml:space="preserve"> WG).</w:t>
      </w:r>
    </w:p>
    <w:p w14:paraId="78F185D9" w14:textId="77777777" w:rsidR="008E5F89" w:rsidRPr="008E5F89" w:rsidRDefault="008E5F89" w:rsidP="008E5F89">
      <w:pPr>
        <w:numPr>
          <w:ilvl w:val="1"/>
          <w:numId w:val="24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val="en-GB" w:eastAsia="en-GB"/>
        </w:rPr>
      </w:pPr>
      <w:r w:rsidRPr="008E5F89">
        <w:rPr>
          <w:rFonts w:ascii="Calibri" w:eastAsia="Times New Roman" w:hAnsi="Calibri" w:cs="Times New Roman"/>
          <w:sz w:val="22"/>
          <w:szCs w:val="20"/>
          <w:lang w:val="en-GB" w:eastAsia="en-GB"/>
        </w:rPr>
        <w:t xml:space="preserve">Agree on a common methodology for the qualification of errors in measurements: </w:t>
      </w:r>
    </w:p>
    <w:p w14:paraId="64A8BC1B" w14:textId="77777777" w:rsidR="008E5F89" w:rsidRPr="008E5F89" w:rsidRDefault="008E5F89" w:rsidP="008E5F89">
      <w:pPr>
        <w:numPr>
          <w:ilvl w:val="1"/>
          <w:numId w:val="2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701"/>
        <w:jc w:val="both"/>
        <w:rPr>
          <w:rFonts w:ascii="Calibri" w:eastAsia="Times New Roman" w:hAnsi="Calibri" w:cs="Times New Roman"/>
          <w:sz w:val="22"/>
          <w:szCs w:val="20"/>
          <w:lang w:val="en-GB" w:eastAsia="en-GB"/>
        </w:rPr>
      </w:pPr>
      <w:r w:rsidRPr="008E5F89">
        <w:rPr>
          <w:rFonts w:ascii="Calibri" w:eastAsia="Times New Roman" w:hAnsi="Calibri" w:cs="Times New Roman"/>
          <w:sz w:val="22"/>
          <w:szCs w:val="20"/>
          <w:lang w:val="en-GB" w:eastAsia="en-GB"/>
        </w:rPr>
        <w:t>Qualitative approach (flags including the degree of confidence</w:t>
      </w:r>
      <w:proofErr w:type="gramStart"/>
      <w:r w:rsidRPr="008E5F89">
        <w:rPr>
          <w:rFonts w:ascii="Calibri" w:eastAsia="Times New Roman" w:hAnsi="Calibri" w:cs="Times New Roman"/>
          <w:sz w:val="22"/>
          <w:szCs w:val="20"/>
          <w:lang w:val="en-GB" w:eastAsia="en-GB"/>
        </w:rPr>
        <w:t>);</w:t>
      </w:r>
      <w:proofErr w:type="gramEnd"/>
    </w:p>
    <w:p w14:paraId="384555C4" w14:textId="77777777" w:rsidR="008E5F89" w:rsidRPr="008E5F89" w:rsidRDefault="008E5F89" w:rsidP="008E5F89">
      <w:pPr>
        <w:numPr>
          <w:ilvl w:val="1"/>
          <w:numId w:val="25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701"/>
        <w:jc w:val="both"/>
        <w:rPr>
          <w:rFonts w:ascii="Calibri" w:eastAsia="Times New Roman" w:hAnsi="Calibri" w:cs="Times New Roman"/>
          <w:sz w:val="22"/>
          <w:szCs w:val="20"/>
          <w:lang w:val="en-GB" w:eastAsia="en-GB"/>
        </w:rPr>
      </w:pPr>
      <w:r w:rsidRPr="008E5F89">
        <w:rPr>
          <w:rFonts w:ascii="Calibri" w:eastAsia="Times New Roman" w:hAnsi="Calibri" w:cs="Times New Roman"/>
          <w:sz w:val="22"/>
          <w:szCs w:val="20"/>
          <w:lang w:val="en-GB" w:eastAsia="en-GB"/>
        </w:rPr>
        <w:t>Quantitative approach (values including uncertainties</w:t>
      </w:r>
      <w:proofErr w:type="gramStart"/>
      <w:r w:rsidRPr="008E5F89">
        <w:rPr>
          <w:rFonts w:ascii="Calibri" w:eastAsia="Times New Roman" w:hAnsi="Calibri" w:cs="Times New Roman"/>
          <w:sz w:val="22"/>
          <w:szCs w:val="20"/>
          <w:lang w:val="en-GB" w:eastAsia="en-GB"/>
        </w:rPr>
        <w:t>) .</w:t>
      </w:r>
      <w:proofErr w:type="gramEnd"/>
      <w:r w:rsidRPr="008E5F89">
        <w:rPr>
          <w:rFonts w:ascii="Calibri" w:eastAsia="Times New Roman" w:hAnsi="Calibri" w:cs="Times New Roman"/>
          <w:sz w:val="22"/>
          <w:szCs w:val="20"/>
          <w:lang w:val="en-GB" w:eastAsia="en-GB"/>
        </w:rPr>
        <w:t xml:space="preserve"> </w:t>
      </w:r>
    </w:p>
    <w:p w14:paraId="56F800A4" w14:textId="77777777" w:rsidR="008E5F89" w:rsidRPr="008E5F89" w:rsidRDefault="008E5F89" w:rsidP="008E5F89">
      <w:pPr>
        <w:numPr>
          <w:ilvl w:val="1"/>
          <w:numId w:val="24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val="en-GB" w:eastAsia="en-GB"/>
        </w:rPr>
      </w:pPr>
      <w:r w:rsidRPr="008E5F89">
        <w:rPr>
          <w:rFonts w:ascii="Calibri" w:eastAsia="Times New Roman" w:hAnsi="Calibri" w:cs="Times New Roman"/>
          <w:sz w:val="22"/>
          <w:szCs w:val="20"/>
          <w:lang w:val="en-GB" w:eastAsia="en-GB"/>
        </w:rPr>
        <w:t xml:space="preserve">Define a common approach to calibrate sniffers. </w:t>
      </w:r>
    </w:p>
    <w:p w14:paraId="033D7583" w14:textId="77777777" w:rsidR="008E5F89" w:rsidRPr="008E5F89" w:rsidRDefault="008E5F89" w:rsidP="008E5F89">
      <w:pPr>
        <w:numPr>
          <w:ilvl w:val="1"/>
          <w:numId w:val="24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val="en-GB" w:eastAsia="en-GB"/>
        </w:rPr>
      </w:pPr>
      <w:r w:rsidRPr="008E5F89">
        <w:rPr>
          <w:rFonts w:ascii="Calibri" w:eastAsia="Times New Roman" w:hAnsi="Calibri" w:cs="Times New Roman"/>
          <w:sz w:val="22"/>
          <w:szCs w:val="20"/>
          <w:lang w:val="en-GB" w:eastAsia="en-GB"/>
        </w:rPr>
        <w:t xml:space="preserve">Agree on alert thresholds: Start from IMO thresholds 0,1% and 0,5% plus an additional margin. </w:t>
      </w:r>
    </w:p>
    <w:p w14:paraId="67D1E593" w14:textId="77777777" w:rsidR="008E5F89" w:rsidRPr="008E5F89" w:rsidRDefault="008E5F89" w:rsidP="008E5F89">
      <w:pPr>
        <w:numPr>
          <w:ilvl w:val="1"/>
          <w:numId w:val="24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val="en-GB" w:eastAsia="en-GB"/>
        </w:rPr>
      </w:pPr>
      <w:r w:rsidRPr="008E5F89">
        <w:rPr>
          <w:rFonts w:ascii="Calibri" w:eastAsia="Times New Roman" w:hAnsi="Calibri" w:cs="Times New Roman"/>
          <w:sz w:val="22"/>
          <w:szCs w:val="20"/>
          <w:lang w:val="en-GB" w:eastAsia="en-GB"/>
        </w:rPr>
        <w:t xml:space="preserve">Run (regular) validation campaigns combining different sensors at BA level (for both, </w:t>
      </w:r>
      <w:proofErr w:type="gramStart"/>
      <w:r w:rsidRPr="008E5F89">
        <w:rPr>
          <w:rFonts w:ascii="Calibri" w:eastAsia="Times New Roman" w:hAnsi="Calibri" w:cs="Times New Roman"/>
          <w:sz w:val="22"/>
          <w:szCs w:val="20"/>
          <w:lang w:val="en-GB" w:eastAsia="en-GB"/>
        </w:rPr>
        <w:t>SOx</w:t>
      </w:r>
      <w:proofErr w:type="gramEnd"/>
      <w:r w:rsidRPr="008E5F89">
        <w:rPr>
          <w:rFonts w:ascii="Calibri" w:eastAsia="Times New Roman" w:hAnsi="Calibri" w:cs="Times New Roman"/>
          <w:sz w:val="22"/>
          <w:szCs w:val="20"/>
          <w:lang w:val="en-GB" w:eastAsia="en-GB"/>
        </w:rPr>
        <w:t xml:space="preserve"> and NOx) to facilitate sharing of data and methodologies which will help identify commonalities in order to check uncertainties between sensors.</w:t>
      </w:r>
    </w:p>
    <w:p w14:paraId="7A612114" w14:textId="77777777" w:rsidR="008E5F89" w:rsidRPr="008E5F89" w:rsidRDefault="008E5F89" w:rsidP="008E5F89">
      <w:pPr>
        <w:numPr>
          <w:ilvl w:val="1"/>
          <w:numId w:val="24"/>
        </w:numPr>
        <w:tabs>
          <w:tab w:val="left" w:pos="567"/>
          <w:tab w:val="left" w:pos="1134"/>
          <w:tab w:val="left" w:pos="1701"/>
          <w:tab w:val="left" w:pos="2268"/>
        </w:tabs>
        <w:spacing w:before="120" w:after="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val="en-GB" w:eastAsia="en-GB"/>
        </w:rPr>
      </w:pPr>
      <w:r w:rsidRPr="008E5F89">
        <w:rPr>
          <w:rFonts w:ascii="Calibri" w:eastAsia="Times New Roman" w:hAnsi="Calibri" w:cs="Times New Roman"/>
          <w:sz w:val="22"/>
          <w:szCs w:val="20"/>
          <w:lang w:val="en-GB" w:eastAsia="en-GB"/>
        </w:rPr>
        <w:t>Promote taking NOx remote measurements, building upon the experience of Belgium and Germany.</w:t>
      </w:r>
    </w:p>
    <w:p w14:paraId="7B3EE397" w14:textId="124E9745" w:rsidR="008E5F89" w:rsidRPr="008E5F89" w:rsidRDefault="008E5F89" w:rsidP="00E14B60">
      <w:pPr>
        <w:numPr>
          <w:ilvl w:val="1"/>
          <w:numId w:val="24"/>
        </w:numPr>
        <w:tabs>
          <w:tab w:val="left" w:pos="567"/>
          <w:tab w:val="left" w:pos="1134"/>
          <w:tab w:val="left" w:pos="1701"/>
          <w:tab w:val="left" w:pos="2268"/>
          <w:tab w:val="left" w:pos="3750"/>
          <w:tab w:val="center" w:pos="4513"/>
        </w:tabs>
        <w:spacing w:before="240" w:after="240" w:line="280" w:lineRule="atLeast"/>
        <w:ind w:left="1134" w:hanging="567"/>
        <w:jc w:val="both"/>
        <w:rPr>
          <w:rFonts w:ascii="Calibri" w:eastAsia="Times New Roman" w:hAnsi="Calibri" w:cs="Times New Roman"/>
          <w:sz w:val="22"/>
          <w:szCs w:val="20"/>
          <w:lang w:val="en-GB" w:eastAsia="en-GB"/>
        </w:rPr>
      </w:pPr>
      <w:r w:rsidRPr="00441C55">
        <w:rPr>
          <w:rFonts w:ascii="Calibri" w:eastAsia="Times New Roman" w:hAnsi="Calibri" w:cs="Times New Roman"/>
          <w:sz w:val="22"/>
          <w:szCs w:val="20"/>
          <w:lang w:val="en-GB" w:eastAsia="en-GB"/>
        </w:rPr>
        <w:t xml:space="preserve">Define operational procedures to make NOx measurements more reliable (contacting the vessel to get information on type of fuel, specific consumption rate, and </w:t>
      </w:r>
      <w:proofErr w:type="gramStart"/>
      <w:r w:rsidRPr="00441C55">
        <w:rPr>
          <w:rFonts w:ascii="Calibri" w:eastAsia="Times New Roman" w:hAnsi="Calibri" w:cs="Times New Roman"/>
          <w:sz w:val="22"/>
          <w:szCs w:val="20"/>
          <w:lang w:val="en-GB" w:eastAsia="en-GB"/>
        </w:rPr>
        <w:t>power;</w:t>
      </w:r>
      <w:proofErr w:type="gramEnd"/>
      <w:r w:rsidRPr="00441C55">
        <w:rPr>
          <w:rFonts w:ascii="Calibri" w:eastAsia="Times New Roman" w:hAnsi="Calibri" w:cs="Times New Roman"/>
          <w:sz w:val="22"/>
          <w:szCs w:val="20"/>
          <w:lang w:val="en-GB" w:eastAsia="en-GB"/>
        </w:rPr>
        <w:t xml:space="preserve"> taking several measurements as for SOx, comparison of measurement results with emission test results). </w:t>
      </w:r>
    </w:p>
    <w:sectPr w:rsidR="008E5F89" w:rsidRPr="008E5F89" w:rsidSect="001E6A24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1515D" w14:textId="77777777" w:rsidR="00E44538" w:rsidRDefault="00E44538" w:rsidP="00BB2EAF">
      <w:pPr>
        <w:spacing w:after="0" w:line="240" w:lineRule="auto"/>
      </w:pPr>
      <w:r>
        <w:separator/>
      </w:r>
    </w:p>
  </w:endnote>
  <w:endnote w:type="continuationSeparator" w:id="0">
    <w:p w14:paraId="07A59FA8" w14:textId="77777777" w:rsidR="00E44538" w:rsidRDefault="00E44538" w:rsidP="00BB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839B" w14:textId="77777777" w:rsidR="00152149" w:rsidRDefault="00152149" w:rsidP="00152149">
    <w:pPr>
      <w:pStyle w:val="Footer"/>
      <w:pBdr>
        <w:bottom w:val="single" w:sz="4" w:space="1" w:color="auto"/>
      </w:pBdr>
      <w:tabs>
        <w:tab w:val="left" w:pos="272"/>
      </w:tabs>
      <w:jc w:val="right"/>
      <w:rPr>
        <w:rStyle w:val="PageNumber"/>
        <w:rFonts w:ascii="Calibri" w:hAnsi="Calibri"/>
        <w:sz w:val="20"/>
        <w:szCs w:val="18"/>
      </w:rPr>
    </w:pPr>
    <w:r w:rsidRPr="00A87231">
      <w:rPr>
        <w:rStyle w:val="PageNumber"/>
        <w:rFonts w:ascii="Calibri" w:hAnsi="Calibri"/>
        <w:sz w:val="20"/>
        <w:szCs w:val="18"/>
      </w:rPr>
      <w:fldChar w:fldCharType="begin"/>
    </w:r>
    <w:r w:rsidRPr="00A87231">
      <w:rPr>
        <w:rStyle w:val="PageNumber"/>
        <w:rFonts w:ascii="Calibri" w:hAnsi="Calibri"/>
        <w:sz w:val="20"/>
        <w:szCs w:val="18"/>
      </w:rPr>
      <w:instrText xml:space="preserve"> PAGE </w:instrText>
    </w:r>
    <w:r w:rsidRPr="00A87231">
      <w:rPr>
        <w:rStyle w:val="PageNumber"/>
        <w:rFonts w:ascii="Calibri" w:hAnsi="Calibri"/>
        <w:sz w:val="20"/>
        <w:szCs w:val="18"/>
      </w:rPr>
      <w:fldChar w:fldCharType="separate"/>
    </w:r>
    <w:r>
      <w:rPr>
        <w:rStyle w:val="PageNumber"/>
        <w:rFonts w:ascii="Calibri" w:hAnsi="Calibri"/>
        <w:sz w:val="20"/>
        <w:szCs w:val="18"/>
      </w:rPr>
      <w:t>1</w:t>
    </w:r>
    <w:r w:rsidRPr="00A87231">
      <w:rPr>
        <w:rStyle w:val="PageNumber"/>
        <w:rFonts w:ascii="Calibri" w:hAnsi="Calibri"/>
        <w:sz w:val="20"/>
        <w:szCs w:val="18"/>
      </w:rPr>
      <w:fldChar w:fldCharType="end"/>
    </w:r>
    <w:r w:rsidRPr="00A87231">
      <w:rPr>
        <w:rStyle w:val="PageNumber"/>
        <w:rFonts w:ascii="Calibri" w:hAnsi="Calibri"/>
        <w:sz w:val="20"/>
        <w:szCs w:val="18"/>
      </w:rPr>
      <w:t xml:space="preserve"> of </w:t>
    </w:r>
    <w:r w:rsidRPr="00A87231">
      <w:rPr>
        <w:rStyle w:val="PageNumber"/>
        <w:rFonts w:ascii="Calibri" w:hAnsi="Calibri"/>
        <w:sz w:val="20"/>
        <w:szCs w:val="18"/>
      </w:rPr>
      <w:fldChar w:fldCharType="begin"/>
    </w:r>
    <w:r w:rsidRPr="00A87231">
      <w:rPr>
        <w:rStyle w:val="PageNumber"/>
        <w:rFonts w:ascii="Calibri" w:hAnsi="Calibri"/>
        <w:sz w:val="20"/>
        <w:szCs w:val="18"/>
      </w:rPr>
      <w:instrText xml:space="preserve"> NUMPAGES </w:instrText>
    </w:r>
    <w:r w:rsidRPr="00A87231">
      <w:rPr>
        <w:rStyle w:val="PageNumber"/>
        <w:rFonts w:ascii="Calibri" w:hAnsi="Calibri"/>
        <w:sz w:val="20"/>
        <w:szCs w:val="18"/>
      </w:rPr>
      <w:fldChar w:fldCharType="separate"/>
    </w:r>
    <w:r>
      <w:rPr>
        <w:rStyle w:val="PageNumber"/>
        <w:rFonts w:ascii="Calibri" w:hAnsi="Calibri"/>
        <w:sz w:val="20"/>
        <w:szCs w:val="18"/>
      </w:rPr>
      <w:t>7</w:t>
    </w:r>
    <w:r w:rsidRPr="00A87231">
      <w:rPr>
        <w:rStyle w:val="PageNumber"/>
        <w:rFonts w:ascii="Calibri" w:hAnsi="Calibri"/>
        <w:sz w:val="20"/>
        <w:szCs w:val="18"/>
      </w:rPr>
      <w:fldChar w:fldCharType="end"/>
    </w:r>
  </w:p>
  <w:p w14:paraId="6C28B171" w14:textId="77777777" w:rsidR="00152149" w:rsidRPr="00A87231" w:rsidRDefault="00152149" w:rsidP="00152149">
    <w:pPr>
      <w:pStyle w:val="Footer"/>
      <w:tabs>
        <w:tab w:val="left" w:leader="underscore" w:pos="9639"/>
      </w:tabs>
      <w:rPr>
        <w:rFonts w:ascii="Calibri" w:hAnsi="Calibri"/>
        <w:sz w:val="2"/>
        <w:szCs w:val="18"/>
      </w:rPr>
    </w:pPr>
    <w:r w:rsidRPr="00A87231">
      <w:rPr>
        <w:rStyle w:val="PageNumber"/>
        <w:rFonts w:ascii="Calibri" w:hAnsi="Calibri"/>
        <w:sz w:val="2"/>
        <w:szCs w:val="18"/>
      </w:rPr>
      <w:tab/>
    </w:r>
  </w:p>
  <w:p w14:paraId="1FA9C847" w14:textId="33278409" w:rsidR="004969A3" w:rsidRPr="00152149" w:rsidRDefault="00152149" w:rsidP="00152149">
    <w:pPr>
      <w:pStyle w:val="Footer"/>
      <w:tabs>
        <w:tab w:val="right" w:pos="9639"/>
      </w:tabs>
      <w:rPr>
        <w:rFonts w:ascii="Calibri" w:hAnsi="Calibri"/>
        <w:sz w:val="20"/>
        <w:szCs w:val="18"/>
      </w:rPr>
    </w:pPr>
    <w:r w:rsidRPr="00A87231">
      <w:rPr>
        <w:rFonts w:ascii="Calibri" w:hAnsi="Calibri"/>
        <w:sz w:val="20"/>
        <w:szCs w:val="18"/>
      </w:rPr>
      <w:t>Bonn Agreement</w:t>
    </w:r>
    <w:r>
      <w:rPr>
        <w:rFonts w:ascii="Calibri" w:hAnsi="Calibri"/>
        <w:sz w:val="20"/>
        <w:szCs w:val="18"/>
      </w:rPr>
      <w:tab/>
    </w:r>
    <w:r w:rsidR="00194FC5">
      <w:rPr>
        <w:rFonts w:ascii="Calibri" w:hAnsi="Calibri"/>
        <w:sz w:val="20"/>
        <w:szCs w:val="18"/>
      </w:rPr>
      <w:tab/>
      <w:t>November 2023</w:t>
    </w:r>
  </w:p>
  <w:p w14:paraId="5FF6D03E" w14:textId="77777777" w:rsidR="00441C55" w:rsidRDefault="00441C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254F" w14:textId="77777777" w:rsidR="00E44538" w:rsidRDefault="00E44538" w:rsidP="00BB2EAF">
      <w:pPr>
        <w:spacing w:after="0" w:line="240" w:lineRule="auto"/>
      </w:pPr>
      <w:r>
        <w:separator/>
      </w:r>
    </w:p>
  </w:footnote>
  <w:footnote w:type="continuationSeparator" w:id="0">
    <w:p w14:paraId="7B387CBF" w14:textId="77777777" w:rsidR="00E44538" w:rsidRDefault="00E44538" w:rsidP="00BB2EAF">
      <w:pPr>
        <w:spacing w:after="0" w:line="240" w:lineRule="auto"/>
      </w:pPr>
      <w:r>
        <w:continuationSeparator/>
      </w:r>
    </w:p>
  </w:footnote>
  <w:footnote w:id="1">
    <w:p w14:paraId="781EAE65" w14:textId="77777777" w:rsidR="008E5F89" w:rsidRDefault="008E5F89" w:rsidP="008E5F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Calibri Light" w:hAnsi="Calibri Light" w:cs="Calibri Light"/>
          <w:sz w:val="18"/>
          <w:szCs w:val="18"/>
          <w:shd w:val="clear" w:color="auto" w:fill="FFFFFF"/>
        </w:rPr>
        <w:t>European Committee for Standardization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F09"/>
    <w:multiLevelType w:val="hybridMultilevel"/>
    <w:tmpl w:val="DC402FB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7B38"/>
    <w:multiLevelType w:val="hybridMultilevel"/>
    <w:tmpl w:val="4A88A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249"/>
    <w:multiLevelType w:val="hybridMultilevel"/>
    <w:tmpl w:val="7F10FC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53E"/>
    <w:multiLevelType w:val="hybridMultilevel"/>
    <w:tmpl w:val="572A75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76C5"/>
    <w:multiLevelType w:val="hybridMultilevel"/>
    <w:tmpl w:val="A92C9A4C"/>
    <w:lvl w:ilvl="0" w:tplc="6DA2402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5239"/>
    <w:multiLevelType w:val="hybridMultilevel"/>
    <w:tmpl w:val="AEA47240"/>
    <w:lvl w:ilvl="0" w:tplc="25FECA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39BD"/>
    <w:multiLevelType w:val="hybridMultilevel"/>
    <w:tmpl w:val="9C76E09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432"/>
    <w:multiLevelType w:val="hybridMultilevel"/>
    <w:tmpl w:val="D2C8C9F0"/>
    <w:lvl w:ilvl="0" w:tplc="843C9182">
      <w:start w:val="1"/>
      <w:numFmt w:val="decimal"/>
      <w:lvlText w:val="6.%1"/>
      <w:lvlJc w:val="left"/>
      <w:pPr>
        <w:ind w:left="720" w:hanging="360"/>
      </w:pPr>
      <w:rPr>
        <w:rFonts w:ascii="Calibri" w:hAnsi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C0DA2"/>
    <w:multiLevelType w:val="hybridMultilevel"/>
    <w:tmpl w:val="5C4E97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F0A0A"/>
    <w:multiLevelType w:val="multilevel"/>
    <w:tmpl w:val="C72EE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AD0271"/>
    <w:multiLevelType w:val="multilevel"/>
    <w:tmpl w:val="2392F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D8743A"/>
    <w:multiLevelType w:val="hybridMultilevel"/>
    <w:tmpl w:val="9C76E09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D3DA9"/>
    <w:multiLevelType w:val="hybridMultilevel"/>
    <w:tmpl w:val="9C76E09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F7B28"/>
    <w:multiLevelType w:val="hybridMultilevel"/>
    <w:tmpl w:val="79649420"/>
    <w:lvl w:ilvl="0" w:tplc="02D4E268">
      <w:start w:val="1"/>
      <w:numFmt w:val="decimal"/>
      <w:pStyle w:val="Style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D2C1F"/>
    <w:multiLevelType w:val="multilevel"/>
    <w:tmpl w:val="B896D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404986"/>
    <w:multiLevelType w:val="multilevel"/>
    <w:tmpl w:val="840664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D427FB0"/>
    <w:multiLevelType w:val="hybridMultilevel"/>
    <w:tmpl w:val="0082D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A46DB"/>
    <w:multiLevelType w:val="hybridMultilevel"/>
    <w:tmpl w:val="9C76E09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27E79"/>
    <w:multiLevelType w:val="hybridMultilevel"/>
    <w:tmpl w:val="790A0186"/>
    <w:lvl w:ilvl="0" w:tplc="25FECA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5498C"/>
    <w:multiLevelType w:val="hybridMultilevel"/>
    <w:tmpl w:val="5CB020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95BA4"/>
    <w:multiLevelType w:val="multilevel"/>
    <w:tmpl w:val="2392F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0E46E8"/>
    <w:multiLevelType w:val="hybridMultilevel"/>
    <w:tmpl w:val="D3609B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400067">
    <w:abstractNumId w:val="4"/>
  </w:num>
  <w:num w:numId="2" w16cid:durableId="983196030">
    <w:abstractNumId w:val="13"/>
  </w:num>
  <w:num w:numId="3" w16cid:durableId="2073579962">
    <w:abstractNumId w:val="2"/>
  </w:num>
  <w:num w:numId="4" w16cid:durableId="1497301364">
    <w:abstractNumId w:val="21"/>
  </w:num>
  <w:num w:numId="5" w16cid:durableId="1866404141">
    <w:abstractNumId w:val="20"/>
  </w:num>
  <w:num w:numId="6" w16cid:durableId="37902080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40968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0935874">
    <w:abstractNumId w:val="15"/>
  </w:num>
  <w:num w:numId="9" w16cid:durableId="1397774968">
    <w:abstractNumId w:val="10"/>
  </w:num>
  <w:num w:numId="10" w16cid:durableId="24716589">
    <w:abstractNumId w:val="0"/>
  </w:num>
  <w:num w:numId="11" w16cid:durableId="1963263749">
    <w:abstractNumId w:val="5"/>
  </w:num>
  <w:num w:numId="12" w16cid:durableId="1048450913">
    <w:abstractNumId w:val="18"/>
  </w:num>
  <w:num w:numId="13" w16cid:durableId="1510288995">
    <w:abstractNumId w:val="3"/>
  </w:num>
  <w:num w:numId="14" w16cid:durableId="815412351">
    <w:abstractNumId w:val="6"/>
  </w:num>
  <w:num w:numId="15" w16cid:durableId="1436243535">
    <w:abstractNumId w:val="11"/>
  </w:num>
  <w:num w:numId="16" w16cid:durableId="693576650">
    <w:abstractNumId w:val="12"/>
  </w:num>
  <w:num w:numId="17" w16cid:durableId="1472165527">
    <w:abstractNumId w:val="17"/>
  </w:num>
  <w:num w:numId="18" w16cid:durableId="362484911">
    <w:abstractNumId w:val="13"/>
  </w:num>
  <w:num w:numId="19" w16cid:durableId="602766992">
    <w:abstractNumId w:val="13"/>
  </w:num>
  <w:num w:numId="20" w16cid:durableId="1263998241">
    <w:abstractNumId w:val="7"/>
  </w:num>
  <w:num w:numId="21" w16cid:durableId="254748437">
    <w:abstractNumId w:val="13"/>
  </w:num>
  <w:num w:numId="22" w16cid:durableId="1847209222">
    <w:abstractNumId w:val="19"/>
  </w:num>
  <w:num w:numId="23" w16cid:durableId="1238976075">
    <w:abstractNumId w:val="9"/>
  </w:num>
  <w:num w:numId="24" w16cid:durableId="16201416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123559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5764888">
    <w:abstractNumId w:val="1"/>
  </w:num>
  <w:num w:numId="27" w16cid:durableId="360594380">
    <w:abstractNumId w:val="13"/>
  </w:num>
  <w:num w:numId="28" w16cid:durableId="1900051908">
    <w:abstractNumId w:val="13"/>
  </w:num>
  <w:num w:numId="29" w16cid:durableId="1000039946">
    <w:abstractNumId w:val="16"/>
  </w:num>
  <w:num w:numId="30" w16cid:durableId="943073372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C4"/>
    <w:rsid w:val="0000107C"/>
    <w:rsid w:val="000013A4"/>
    <w:rsid w:val="0001144B"/>
    <w:rsid w:val="000117F0"/>
    <w:rsid w:val="000119C3"/>
    <w:rsid w:val="0001744F"/>
    <w:rsid w:val="00026228"/>
    <w:rsid w:val="000432E0"/>
    <w:rsid w:val="0004581E"/>
    <w:rsid w:val="00047538"/>
    <w:rsid w:val="00052678"/>
    <w:rsid w:val="00067A15"/>
    <w:rsid w:val="00067AC0"/>
    <w:rsid w:val="00097586"/>
    <w:rsid w:val="000A056F"/>
    <w:rsid w:val="000A2E04"/>
    <w:rsid w:val="000C217C"/>
    <w:rsid w:val="00117523"/>
    <w:rsid w:val="00146131"/>
    <w:rsid w:val="001474B1"/>
    <w:rsid w:val="0015151B"/>
    <w:rsid w:val="00152149"/>
    <w:rsid w:val="00156953"/>
    <w:rsid w:val="0016587B"/>
    <w:rsid w:val="00166346"/>
    <w:rsid w:val="00166CDD"/>
    <w:rsid w:val="001758B7"/>
    <w:rsid w:val="00185B1B"/>
    <w:rsid w:val="001906BC"/>
    <w:rsid w:val="00194FC5"/>
    <w:rsid w:val="001A6666"/>
    <w:rsid w:val="001E3DE1"/>
    <w:rsid w:val="001E6A24"/>
    <w:rsid w:val="00204FA1"/>
    <w:rsid w:val="00206E49"/>
    <w:rsid w:val="00214592"/>
    <w:rsid w:val="00224EE7"/>
    <w:rsid w:val="00233CAA"/>
    <w:rsid w:val="00245933"/>
    <w:rsid w:val="002473EC"/>
    <w:rsid w:val="00261384"/>
    <w:rsid w:val="00261C86"/>
    <w:rsid w:val="00267A74"/>
    <w:rsid w:val="00272932"/>
    <w:rsid w:val="00280396"/>
    <w:rsid w:val="002A06D3"/>
    <w:rsid w:val="002A3D25"/>
    <w:rsid w:val="002A67E8"/>
    <w:rsid w:val="002B62EB"/>
    <w:rsid w:val="002D24FA"/>
    <w:rsid w:val="002E02EF"/>
    <w:rsid w:val="002E06DF"/>
    <w:rsid w:val="002E0E58"/>
    <w:rsid w:val="002E3ED5"/>
    <w:rsid w:val="002F0279"/>
    <w:rsid w:val="002F39AE"/>
    <w:rsid w:val="002F4C7F"/>
    <w:rsid w:val="002F6C1E"/>
    <w:rsid w:val="00307B6F"/>
    <w:rsid w:val="00311407"/>
    <w:rsid w:val="003133EE"/>
    <w:rsid w:val="00322E44"/>
    <w:rsid w:val="00323A04"/>
    <w:rsid w:val="00335521"/>
    <w:rsid w:val="00350A89"/>
    <w:rsid w:val="00386D01"/>
    <w:rsid w:val="003A3F03"/>
    <w:rsid w:val="003B2A44"/>
    <w:rsid w:val="003B3BBF"/>
    <w:rsid w:val="003D6F14"/>
    <w:rsid w:val="003E1A47"/>
    <w:rsid w:val="003F7B07"/>
    <w:rsid w:val="0042521A"/>
    <w:rsid w:val="00441C55"/>
    <w:rsid w:val="004749F3"/>
    <w:rsid w:val="00495901"/>
    <w:rsid w:val="004969A3"/>
    <w:rsid w:val="004A704F"/>
    <w:rsid w:val="004D2014"/>
    <w:rsid w:val="004E0BCB"/>
    <w:rsid w:val="004E774C"/>
    <w:rsid w:val="004F6E27"/>
    <w:rsid w:val="00503CDF"/>
    <w:rsid w:val="005164CB"/>
    <w:rsid w:val="005447C4"/>
    <w:rsid w:val="00547E84"/>
    <w:rsid w:val="0057625D"/>
    <w:rsid w:val="00593611"/>
    <w:rsid w:val="005A7077"/>
    <w:rsid w:val="005A7F1A"/>
    <w:rsid w:val="005B7E3F"/>
    <w:rsid w:val="005C3F81"/>
    <w:rsid w:val="005C4904"/>
    <w:rsid w:val="005D17DA"/>
    <w:rsid w:val="005D19D8"/>
    <w:rsid w:val="005E6145"/>
    <w:rsid w:val="0061025F"/>
    <w:rsid w:val="00612B41"/>
    <w:rsid w:val="00613195"/>
    <w:rsid w:val="006136DC"/>
    <w:rsid w:val="0062476C"/>
    <w:rsid w:val="00675787"/>
    <w:rsid w:val="00680A55"/>
    <w:rsid w:val="006A30D4"/>
    <w:rsid w:val="006A4D96"/>
    <w:rsid w:val="006A51BA"/>
    <w:rsid w:val="006C7A16"/>
    <w:rsid w:val="006D38DD"/>
    <w:rsid w:val="006F39FB"/>
    <w:rsid w:val="00704C13"/>
    <w:rsid w:val="00721DB8"/>
    <w:rsid w:val="00723422"/>
    <w:rsid w:val="00747114"/>
    <w:rsid w:val="007472BF"/>
    <w:rsid w:val="00750F67"/>
    <w:rsid w:val="0075533C"/>
    <w:rsid w:val="007673FF"/>
    <w:rsid w:val="00770935"/>
    <w:rsid w:val="007861BD"/>
    <w:rsid w:val="00797ECA"/>
    <w:rsid w:val="007A48D4"/>
    <w:rsid w:val="007E5C8E"/>
    <w:rsid w:val="0080782D"/>
    <w:rsid w:val="0082497C"/>
    <w:rsid w:val="008256FE"/>
    <w:rsid w:val="00845582"/>
    <w:rsid w:val="00864041"/>
    <w:rsid w:val="00880213"/>
    <w:rsid w:val="00882CD1"/>
    <w:rsid w:val="008933C4"/>
    <w:rsid w:val="008A4D27"/>
    <w:rsid w:val="008B7C5E"/>
    <w:rsid w:val="008C0DFA"/>
    <w:rsid w:val="008E5F89"/>
    <w:rsid w:val="008F7992"/>
    <w:rsid w:val="00916F3B"/>
    <w:rsid w:val="00924327"/>
    <w:rsid w:val="009313C1"/>
    <w:rsid w:val="0093174B"/>
    <w:rsid w:val="00935F34"/>
    <w:rsid w:val="0093756B"/>
    <w:rsid w:val="00945C5E"/>
    <w:rsid w:val="00946F2C"/>
    <w:rsid w:val="00955919"/>
    <w:rsid w:val="0096358B"/>
    <w:rsid w:val="00976FB2"/>
    <w:rsid w:val="00977D19"/>
    <w:rsid w:val="00986F9F"/>
    <w:rsid w:val="00990A71"/>
    <w:rsid w:val="009C03B7"/>
    <w:rsid w:val="009C114B"/>
    <w:rsid w:val="009C376A"/>
    <w:rsid w:val="009C52BB"/>
    <w:rsid w:val="009E16E2"/>
    <w:rsid w:val="009E635C"/>
    <w:rsid w:val="009E64AF"/>
    <w:rsid w:val="00A04470"/>
    <w:rsid w:val="00A1105B"/>
    <w:rsid w:val="00A31EAB"/>
    <w:rsid w:val="00A36F24"/>
    <w:rsid w:val="00A45432"/>
    <w:rsid w:val="00A75539"/>
    <w:rsid w:val="00A81C02"/>
    <w:rsid w:val="00A8393D"/>
    <w:rsid w:val="00A92D7E"/>
    <w:rsid w:val="00AA62EF"/>
    <w:rsid w:val="00AB4390"/>
    <w:rsid w:val="00AC148A"/>
    <w:rsid w:val="00AC1880"/>
    <w:rsid w:val="00AC6F2A"/>
    <w:rsid w:val="00AE12B7"/>
    <w:rsid w:val="00AE2BB0"/>
    <w:rsid w:val="00AE7DF5"/>
    <w:rsid w:val="00AF0004"/>
    <w:rsid w:val="00B01E9F"/>
    <w:rsid w:val="00B06701"/>
    <w:rsid w:val="00B10E32"/>
    <w:rsid w:val="00B11703"/>
    <w:rsid w:val="00B5010B"/>
    <w:rsid w:val="00B52967"/>
    <w:rsid w:val="00B63A16"/>
    <w:rsid w:val="00B73A6B"/>
    <w:rsid w:val="00B8513B"/>
    <w:rsid w:val="00B865E3"/>
    <w:rsid w:val="00B875AE"/>
    <w:rsid w:val="00B90631"/>
    <w:rsid w:val="00B92741"/>
    <w:rsid w:val="00B96CEE"/>
    <w:rsid w:val="00BB2EAF"/>
    <w:rsid w:val="00BB5525"/>
    <w:rsid w:val="00BD2E52"/>
    <w:rsid w:val="00BE15B2"/>
    <w:rsid w:val="00C26157"/>
    <w:rsid w:val="00C4016D"/>
    <w:rsid w:val="00C40BA3"/>
    <w:rsid w:val="00C562FB"/>
    <w:rsid w:val="00C86880"/>
    <w:rsid w:val="00CA29BE"/>
    <w:rsid w:val="00CA5F62"/>
    <w:rsid w:val="00CB0CF3"/>
    <w:rsid w:val="00CB6458"/>
    <w:rsid w:val="00CC3D79"/>
    <w:rsid w:val="00D07400"/>
    <w:rsid w:val="00D23202"/>
    <w:rsid w:val="00DB0C44"/>
    <w:rsid w:val="00DB6311"/>
    <w:rsid w:val="00DC6008"/>
    <w:rsid w:val="00DC71A4"/>
    <w:rsid w:val="00DC7796"/>
    <w:rsid w:val="00DD69C9"/>
    <w:rsid w:val="00DE260F"/>
    <w:rsid w:val="00E01015"/>
    <w:rsid w:val="00E12036"/>
    <w:rsid w:val="00E1511E"/>
    <w:rsid w:val="00E44538"/>
    <w:rsid w:val="00E6685A"/>
    <w:rsid w:val="00E838DB"/>
    <w:rsid w:val="00E939B5"/>
    <w:rsid w:val="00E93AA6"/>
    <w:rsid w:val="00EC1E39"/>
    <w:rsid w:val="00EE58D5"/>
    <w:rsid w:val="00EE79E0"/>
    <w:rsid w:val="00EF0D29"/>
    <w:rsid w:val="00F13743"/>
    <w:rsid w:val="00F13DB4"/>
    <w:rsid w:val="00F3205C"/>
    <w:rsid w:val="00F4768C"/>
    <w:rsid w:val="00F551B0"/>
    <w:rsid w:val="00F60F80"/>
    <w:rsid w:val="00F73E70"/>
    <w:rsid w:val="00F76BC1"/>
    <w:rsid w:val="00F77DCA"/>
    <w:rsid w:val="00F85A19"/>
    <w:rsid w:val="00FA71AF"/>
    <w:rsid w:val="00FB1610"/>
    <w:rsid w:val="00FB3F13"/>
    <w:rsid w:val="00FB40B3"/>
    <w:rsid w:val="00FC51AD"/>
    <w:rsid w:val="00FD1479"/>
    <w:rsid w:val="00FE12DD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E9CD7"/>
  <w15:chartTrackingRefBased/>
  <w15:docId w15:val="{CFC93E6A-72FE-41A3-AF66-0242BFEB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14B"/>
  </w:style>
  <w:style w:type="paragraph" w:styleId="Heading1">
    <w:name w:val="heading 1"/>
    <w:basedOn w:val="Normal"/>
    <w:next w:val="Normal"/>
    <w:link w:val="Heading1Char"/>
    <w:uiPriority w:val="9"/>
    <w:qFormat/>
    <w:rsid w:val="00261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30D4"/>
    <w:pPr>
      <w:keepNext/>
      <w:spacing w:before="240" w:after="120" w:line="276" w:lineRule="auto"/>
      <w:jc w:val="both"/>
      <w:outlineLvl w:val="1"/>
    </w:pPr>
    <w:rPr>
      <w:rFonts w:ascii="Calibri" w:eastAsia="Times New Roman" w:hAnsi="Calibri" w:cs="Times New Roman"/>
      <w:sz w:val="28"/>
      <w:szCs w:val="20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B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_Bullet,Heading 2_sj,List Paragraph1,Listenabsatz1,Parágrafo da Lista"/>
    <w:basedOn w:val="Normal"/>
    <w:link w:val="ListParagraphChar"/>
    <w:uiPriority w:val="34"/>
    <w:qFormat/>
    <w:rsid w:val="002F4C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EA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2613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61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613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A30D4"/>
    <w:rPr>
      <w:rFonts w:ascii="Calibri" w:eastAsia="Times New Roman" w:hAnsi="Calibri" w:cs="Times New Roman"/>
      <w:sz w:val="28"/>
      <w:szCs w:val="20"/>
      <w:lang w:val="en-GB" w:eastAsia="en-GB"/>
    </w:rPr>
  </w:style>
  <w:style w:type="character" w:styleId="Hyperlink">
    <w:name w:val="Hyperlink"/>
    <w:rsid w:val="006A30D4"/>
    <w:rPr>
      <w:color w:val="0000FF"/>
      <w:u w:val="single"/>
    </w:rPr>
  </w:style>
  <w:style w:type="character" w:customStyle="1" w:styleId="ListParagraphChar">
    <w:name w:val="List Paragraph Char"/>
    <w:aliases w:val="_Bullet Char,Heading 2_sj Char,List Paragraph1 Char,Listenabsatz1 Char,Parágrafo da Lista Char"/>
    <w:basedOn w:val="DefaultParagraphFont"/>
    <w:link w:val="ListParagraph"/>
    <w:uiPriority w:val="34"/>
    <w:qFormat/>
    <w:locked/>
    <w:rsid w:val="006A30D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779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76B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2E02EF"/>
    <w:pPr>
      <w:spacing w:after="0" w:line="240" w:lineRule="auto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2E02EF"/>
    <w:rPr>
      <w:rFonts w:ascii="Times New Roman" w:eastAsia="Times New Roman" w:hAnsi="Times New Roman" w:cs="Times New Roman"/>
      <w:sz w:val="22"/>
      <w:szCs w:val="20"/>
      <w:lang w:val="en-GB"/>
    </w:rPr>
  </w:style>
  <w:style w:type="paragraph" w:styleId="Revision">
    <w:name w:val="Revision"/>
    <w:hidden/>
    <w:uiPriority w:val="99"/>
    <w:semiHidden/>
    <w:rsid w:val="002A3D25"/>
    <w:pPr>
      <w:spacing w:after="0" w:line="240" w:lineRule="auto"/>
    </w:pPr>
  </w:style>
  <w:style w:type="paragraph" w:customStyle="1" w:styleId="Paragraph">
    <w:name w:val="Paragraph"/>
    <w:basedOn w:val="Normal"/>
    <w:qFormat/>
    <w:rsid w:val="002F6C1E"/>
    <w:pPr>
      <w:tabs>
        <w:tab w:val="left" w:pos="567"/>
        <w:tab w:val="left" w:pos="1134"/>
        <w:tab w:val="left" w:pos="1701"/>
        <w:tab w:val="left" w:pos="2268"/>
      </w:tabs>
      <w:spacing w:before="120" w:after="0" w:line="280" w:lineRule="atLeast"/>
      <w:ind w:left="720" w:hanging="360"/>
      <w:jc w:val="both"/>
    </w:pPr>
    <w:rPr>
      <w:rFonts w:ascii="Calibri" w:eastAsia="Times New Roman" w:hAnsi="Calibri" w:cs="Times New Roman"/>
      <w:sz w:val="22"/>
      <w:szCs w:val="20"/>
      <w:lang w:val="en-GB"/>
    </w:rPr>
  </w:style>
  <w:style w:type="paragraph" w:customStyle="1" w:styleId="Style1">
    <w:name w:val="Style1"/>
    <w:basedOn w:val="Normal"/>
    <w:qFormat/>
    <w:rsid w:val="00B11703"/>
    <w:pPr>
      <w:numPr>
        <w:numId w:val="2"/>
      </w:numPr>
      <w:tabs>
        <w:tab w:val="left" w:pos="567"/>
      </w:tabs>
      <w:spacing w:before="120" w:after="0" w:line="280" w:lineRule="atLeast"/>
      <w:jc w:val="both"/>
    </w:pPr>
    <w:rPr>
      <w:rFonts w:ascii="Calibri" w:eastAsia="Times New Roman" w:hAnsi="Calibri" w:cs="Times New Roman"/>
      <w:sz w:val="22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BB2EAF"/>
    <w:pPr>
      <w:tabs>
        <w:tab w:val="left" w:pos="567"/>
        <w:tab w:val="left" w:pos="1134"/>
        <w:tab w:val="left" w:pos="1701"/>
        <w:tab w:val="left" w:pos="2268"/>
      </w:tabs>
      <w:spacing w:after="120" w:line="240" w:lineRule="auto"/>
      <w:ind w:left="567" w:hanging="567"/>
      <w:jc w:val="both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2EAF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FootnoteReference">
    <w:name w:val="footnote reference"/>
    <w:aliases w:val="stylish"/>
    <w:uiPriority w:val="99"/>
    <w:rsid w:val="00BB2EA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47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4B1"/>
  </w:style>
  <w:style w:type="paragraph" w:styleId="Footer">
    <w:name w:val="footer"/>
    <w:basedOn w:val="Normal"/>
    <w:link w:val="FooterChar"/>
    <w:unhideWhenUsed/>
    <w:rsid w:val="00147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474B1"/>
  </w:style>
  <w:style w:type="paragraph" w:styleId="BalloonText">
    <w:name w:val="Balloon Text"/>
    <w:basedOn w:val="Normal"/>
    <w:link w:val="BalloonTextChar"/>
    <w:uiPriority w:val="99"/>
    <w:semiHidden/>
    <w:unhideWhenUsed/>
    <w:rsid w:val="00E6685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85A"/>
    <w:rPr>
      <w:rFonts w:ascii="Segoe UI" w:hAnsi="Segoe UI" w:cs="Segoe UI"/>
      <w:szCs w:val="18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5A7077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185B1B"/>
  </w:style>
  <w:style w:type="character" w:styleId="PageNumber">
    <w:name w:val="page number"/>
    <w:rsid w:val="00FE4D5E"/>
    <w:rPr>
      <w:rFonts w:ascii="Arial" w:hAnsi="Arial"/>
      <w:sz w:val="18"/>
    </w:rPr>
  </w:style>
  <w:style w:type="character" w:customStyle="1" w:styleId="Onopgelostemelding2">
    <w:name w:val="Onopgeloste melding2"/>
    <w:basedOn w:val="DefaultParagraphFont"/>
    <w:uiPriority w:val="99"/>
    <w:semiHidden/>
    <w:unhideWhenUsed/>
    <w:rsid w:val="009E635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AC1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E5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header">
    <w:name w:val="Doc header"/>
    <w:basedOn w:val="Normal"/>
    <w:rsid w:val="00152149"/>
    <w:pPr>
      <w:tabs>
        <w:tab w:val="left" w:pos="567"/>
      </w:tabs>
      <w:spacing w:after="0" w:line="280" w:lineRule="exact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3D1FC-A8E6-4A66-97D6-4B9DC11B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Rijksoverheid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Driesprong, A. (Astrid) - ILT</dc:creator>
  <cp:keywords/>
  <dc:description/>
  <cp:lastModifiedBy>Olle Akesson</cp:lastModifiedBy>
  <cp:revision>8</cp:revision>
  <dcterms:created xsi:type="dcterms:W3CDTF">2023-09-21T07:59:00Z</dcterms:created>
  <dcterms:modified xsi:type="dcterms:W3CDTF">2023-11-02T12:15:00Z</dcterms:modified>
</cp:coreProperties>
</file>