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03C7" w14:textId="6DC93FAC" w:rsidR="00F4107A" w:rsidRDefault="00EA280C" w:rsidP="00EA280C">
      <w:pPr>
        <w:tabs>
          <w:tab w:val="clear" w:pos="357"/>
        </w:tabs>
        <w:spacing w:before="240" w:after="240"/>
        <w:jc w:val="right"/>
        <w:outlineLvl w:val="0"/>
        <w:rPr>
          <w:noProof/>
          <w:kern w:val="28"/>
          <w:sz w:val="36"/>
          <w:szCs w:val="36"/>
          <w:lang w:eastAsia="en-US"/>
        </w:rPr>
      </w:pPr>
      <w:r>
        <w:rPr>
          <w:noProof/>
          <w:kern w:val="28"/>
          <w:sz w:val="36"/>
          <w:szCs w:val="36"/>
          <w:lang w:eastAsia="en-US"/>
        </w:rPr>
        <w:drawing>
          <wp:anchor distT="0" distB="0" distL="114300" distR="114300" simplePos="0" relativeHeight="251658240" behindDoc="0" locked="0" layoutInCell="1" allowOverlap="1" wp14:anchorId="20418A00" wp14:editId="2B3DABD3">
            <wp:simplePos x="0" y="0"/>
            <wp:positionH relativeFrom="column">
              <wp:posOffset>-180975</wp:posOffset>
            </wp:positionH>
            <wp:positionV relativeFrom="paragraph">
              <wp:posOffset>35560</wp:posOffset>
            </wp:positionV>
            <wp:extent cx="2409825" cy="685800"/>
            <wp:effectExtent l="0" t="0" r="0" b="0"/>
            <wp:wrapNone/>
            <wp:docPr id="1828477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0C50B" w14:textId="77777777" w:rsidR="00F4107A" w:rsidRDefault="00F4107A" w:rsidP="00EA280C">
      <w:pPr>
        <w:tabs>
          <w:tab w:val="clear" w:pos="357"/>
        </w:tabs>
        <w:spacing w:before="240" w:after="240"/>
        <w:outlineLvl w:val="0"/>
        <w:rPr>
          <w:noProof/>
          <w:kern w:val="28"/>
          <w:sz w:val="36"/>
          <w:szCs w:val="36"/>
          <w:lang w:eastAsia="en-US"/>
        </w:rPr>
      </w:pPr>
    </w:p>
    <w:p w14:paraId="745B5BAF" w14:textId="1FE5D191" w:rsidR="00543AD6" w:rsidRDefault="007907F4" w:rsidP="00543AD6">
      <w:pPr>
        <w:tabs>
          <w:tab w:val="clear" w:pos="357"/>
        </w:tabs>
        <w:spacing w:before="240" w:after="0"/>
        <w:jc w:val="center"/>
        <w:outlineLvl w:val="0"/>
        <w:rPr>
          <w:noProof/>
          <w:kern w:val="28"/>
          <w:sz w:val="36"/>
          <w:szCs w:val="36"/>
          <w:lang w:eastAsia="en-US"/>
        </w:rPr>
      </w:pPr>
      <w:r w:rsidRPr="00543AD6">
        <w:rPr>
          <w:noProof/>
          <w:kern w:val="28"/>
          <w:sz w:val="36"/>
          <w:szCs w:val="36"/>
          <w:lang w:eastAsia="en-US"/>
        </w:rPr>
        <w:t xml:space="preserve">Bonn Agreement Strategic Action Plan </w:t>
      </w:r>
      <w:r w:rsidR="00543AD6">
        <w:rPr>
          <w:noProof/>
          <w:kern w:val="28"/>
          <w:sz w:val="36"/>
          <w:szCs w:val="36"/>
          <w:lang w:eastAsia="en-US"/>
        </w:rPr>
        <w:t xml:space="preserve">(BASAP) </w:t>
      </w:r>
      <w:r w:rsidRPr="00543AD6">
        <w:rPr>
          <w:noProof/>
          <w:kern w:val="28"/>
          <w:sz w:val="36"/>
          <w:szCs w:val="36"/>
          <w:lang w:eastAsia="en-US"/>
        </w:rPr>
        <w:t>2019-2025</w:t>
      </w:r>
    </w:p>
    <w:p w14:paraId="1CDC7789" w14:textId="1B39AA2D" w:rsidR="00CA17DC" w:rsidRDefault="00543AD6" w:rsidP="00543AD6">
      <w:pPr>
        <w:tabs>
          <w:tab w:val="clear" w:pos="357"/>
        </w:tabs>
        <w:spacing w:after="480"/>
        <w:jc w:val="center"/>
        <w:outlineLvl w:val="0"/>
        <w:rPr>
          <w:noProof/>
          <w:kern w:val="28"/>
          <w:sz w:val="36"/>
          <w:szCs w:val="36"/>
          <w:lang w:eastAsia="en-US"/>
        </w:rPr>
      </w:pPr>
      <w:r>
        <w:rPr>
          <w:noProof/>
          <w:kern w:val="28"/>
          <w:sz w:val="36"/>
          <w:szCs w:val="36"/>
          <w:lang w:eastAsia="en-US"/>
        </w:rPr>
        <mc:AlternateContent>
          <mc:Choice Requires="wps">
            <w:drawing>
              <wp:anchor distT="0" distB="0" distL="114300" distR="114300" simplePos="0" relativeHeight="251657215" behindDoc="1" locked="0" layoutInCell="1" allowOverlap="1" wp14:anchorId="0E422EA9" wp14:editId="168D5440">
                <wp:simplePos x="0" y="0"/>
                <wp:positionH relativeFrom="column">
                  <wp:posOffset>0</wp:posOffset>
                </wp:positionH>
                <wp:positionV relativeFrom="paragraph">
                  <wp:posOffset>454025</wp:posOffset>
                </wp:positionV>
                <wp:extent cx="5953125" cy="4733925"/>
                <wp:effectExtent l="0" t="0" r="9525" b="9525"/>
                <wp:wrapNone/>
                <wp:docPr id="1943683803" name="Rectangle 1"/>
                <wp:cNvGraphicFramePr/>
                <a:graphic xmlns:a="http://schemas.openxmlformats.org/drawingml/2006/main">
                  <a:graphicData uri="http://schemas.microsoft.com/office/word/2010/wordprocessingShape">
                    <wps:wsp>
                      <wps:cNvSpPr/>
                      <wps:spPr>
                        <a:xfrm>
                          <a:off x="0" y="0"/>
                          <a:ext cx="5953125" cy="4733925"/>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097CB" id="Rectangle 1" o:spid="_x0000_s1026" style="position:absolute;margin-left:0;margin-top:35.75pt;width:468.75pt;height:372.7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" fillcolor="#dbe5f1 [660]" stroked="f" strokeweight="2pt"/>
            </w:pict>
          </mc:Fallback>
        </mc:AlternateContent>
      </w:r>
      <w:r>
        <w:rPr>
          <w:noProof/>
          <w:kern w:val="28"/>
          <w:sz w:val="36"/>
          <w:szCs w:val="36"/>
          <w:lang w:eastAsia="en-US"/>
        </w:rPr>
        <w:t xml:space="preserve">2025 </w:t>
      </w:r>
      <w:r w:rsidR="00E76093" w:rsidRPr="000E33FD">
        <w:rPr>
          <w:noProof/>
          <w:kern w:val="28"/>
          <w:sz w:val="36"/>
          <w:szCs w:val="36"/>
          <w:lang w:eastAsia="en-US"/>
        </w:rPr>
        <w:t>Progress Report</w:t>
      </w:r>
    </w:p>
    <w:p w14:paraId="476F0E79" w14:textId="77777777" w:rsidR="00D0666B" w:rsidRDefault="00D0666B" w:rsidP="00D0666B">
      <w:pPr>
        <w:rPr>
          <w:rFonts w:cstheme="minorHAnsi"/>
          <w:b/>
          <w:bCs/>
          <w:sz w:val="26"/>
          <w:szCs w:val="26"/>
        </w:rPr>
      </w:pPr>
      <w:bookmarkStart w:id="0" w:name="_Toc142572092"/>
      <w:r>
        <w:rPr>
          <w:rFonts w:cstheme="minorHAnsi"/>
          <w:b/>
          <w:bCs/>
          <w:sz w:val="26"/>
          <w:szCs w:val="26"/>
        </w:rPr>
        <w:t>Key messages</w:t>
      </w:r>
    </w:p>
    <w:p w14:paraId="1872F89D" w14:textId="380CAFC5" w:rsidR="00D0666B" w:rsidRPr="00B908DD" w:rsidRDefault="00D0666B" w:rsidP="000326B5">
      <w:pPr>
        <w:pStyle w:val="ListParagraph"/>
        <w:numPr>
          <w:ilvl w:val="0"/>
          <w:numId w:val="5"/>
        </w:numPr>
        <w:rPr>
          <w:rFonts w:cstheme="minorHAnsi"/>
          <w:sz w:val="26"/>
          <w:szCs w:val="26"/>
        </w:rPr>
      </w:pPr>
      <w:r w:rsidRPr="00B908DD">
        <w:rPr>
          <w:rFonts w:cstheme="minorHAnsi"/>
          <w:sz w:val="26"/>
          <w:szCs w:val="26"/>
        </w:rPr>
        <w:t xml:space="preserve">Contracting Parties </w:t>
      </w:r>
      <w:r w:rsidR="0026108B">
        <w:rPr>
          <w:rFonts w:cstheme="minorHAnsi"/>
          <w:sz w:val="26"/>
          <w:szCs w:val="26"/>
        </w:rPr>
        <w:t xml:space="preserve">have been working on </w:t>
      </w:r>
      <w:r w:rsidR="0026108B" w:rsidRPr="0026108B">
        <w:rPr>
          <w:rFonts w:cstheme="minorHAnsi"/>
          <w:b/>
          <w:bCs/>
          <w:sz w:val="26"/>
          <w:szCs w:val="26"/>
        </w:rPr>
        <w:t>37</w:t>
      </w:r>
      <w:r w:rsidRPr="0026108B">
        <w:rPr>
          <w:rFonts w:cstheme="minorHAnsi"/>
          <w:b/>
          <w:bCs/>
          <w:sz w:val="26"/>
          <w:szCs w:val="26"/>
        </w:rPr>
        <w:t xml:space="preserve"> tasks</w:t>
      </w:r>
      <w:r w:rsidRPr="00B908DD">
        <w:rPr>
          <w:rFonts w:cstheme="minorHAnsi"/>
          <w:sz w:val="26"/>
          <w:szCs w:val="26"/>
        </w:rPr>
        <w:t xml:space="preserve"> to deliver the </w:t>
      </w:r>
      <w:r w:rsidR="0026108B">
        <w:rPr>
          <w:rFonts w:cstheme="minorHAnsi"/>
          <w:sz w:val="26"/>
          <w:szCs w:val="26"/>
        </w:rPr>
        <w:t xml:space="preserve">strategic aims of the </w:t>
      </w:r>
      <w:bookmarkStart w:id="1" w:name="_Hlk203465789"/>
      <w:r w:rsidR="0026108B" w:rsidRPr="0026108B">
        <w:rPr>
          <w:rFonts w:cstheme="minorHAnsi"/>
          <w:sz w:val="26"/>
          <w:szCs w:val="26"/>
        </w:rPr>
        <w:t>Bonn Agreement Strategic Action Plan 2019-2025</w:t>
      </w:r>
      <w:bookmarkEnd w:id="1"/>
      <w:r w:rsidRPr="00B908DD">
        <w:rPr>
          <w:rFonts w:cstheme="minorHAnsi"/>
          <w:sz w:val="26"/>
          <w:szCs w:val="26"/>
        </w:rPr>
        <w:t xml:space="preserve">. </w:t>
      </w:r>
    </w:p>
    <w:p w14:paraId="347757C2" w14:textId="6D2D9000" w:rsidR="00FB06A1" w:rsidRPr="00FB06A1" w:rsidRDefault="007907F4" w:rsidP="000326B5">
      <w:pPr>
        <w:pStyle w:val="ListParagraph"/>
        <w:numPr>
          <w:ilvl w:val="0"/>
          <w:numId w:val="5"/>
        </w:numPr>
        <w:rPr>
          <w:rFonts w:cstheme="minorHAnsi"/>
          <w:sz w:val="26"/>
          <w:szCs w:val="26"/>
        </w:rPr>
      </w:pPr>
      <w:r w:rsidRPr="00FB06A1">
        <w:rPr>
          <w:rFonts w:cstheme="minorHAnsi"/>
          <w:sz w:val="26"/>
          <w:szCs w:val="26"/>
        </w:rPr>
        <w:t xml:space="preserve">Most of the tasks are recurring </w:t>
      </w:r>
      <w:r w:rsidR="00D349E0" w:rsidRPr="00FB06A1">
        <w:rPr>
          <w:rFonts w:cstheme="minorHAnsi"/>
          <w:sz w:val="26"/>
          <w:szCs w:val="26"/>
        </w:rPr>
        <w:t>with</w:t>
      </w:r>
      <w:r w:rsidRPr="00FB06A1">
        <w:rPr>
          <w:rFonts w:cstheme="minorHAnsi"/>
          <w:sz w:val="26"/>
          <w:szCs w:val="26"/>
        </w:rPr>
        <w:t xml:space="preserve"> </w:t>
      </w:r>
      <w:r w:rsidRPr="00FB06A1">
        <w:rPr>
          <w:rFonts w:cstheme="minorHAnsi"/>
          <w:b/>
          <w:bCs/>
          <w:sz w:val="26"/>
          <w:szCs w:val="26"/>
        </w:rPr>
        <w:t xml:space="preserve">90% </w:t>
      </w:r>
      <w:r w:rsidR="00D349E0" w:rsidRPr="00FB06A1">
        <w:rPr>
          <w:rFonts w:cstheme="minorHAnsi"/>
          <w:b/>
          <w:bCs/>
          <w:sz w:val="26"/>
          <w:szCs w:val="26"/>
        </w:rPr>
        <w:t>being</w:t>
      </w:r>
      <w:r w:rsidRPr="00FB06A1">
        <w:rPr>
          <w:rFonts w:cstheme="minorHAnsi"/>
          <w:b/>
          <w:bCs/>
          <w:sz w:val="26"/>
          <w:szCs w:val="26"/>
        </w:rPr>
        <w:t xml:space="preserve"> on track </w:t>
      </w:r>
      <w:r w:rsidRPr="00FB06A1">
        <w:rPr>
          <w:rFonts w:cstheme="minorHAnsi"/>
          <w:sz w:val="26"/>
          <w:szCs w:val="26"/>
        </w:rPr>
        <w:t xml:space="preserve">by the end of the </w:t>
      </w:r>
      <w:r w:rsidR="00D349E0" w:rsidRPr="00FB06A1">
        <w:rPr>
          <w:rFonts w:cstheme="minorHAnsi"/>
          <w:sz w:val="26"/>
          <w:szCs w:val="26"/>
        </w:rPr>
        <w:t>strategy period</w:t>
      </w:r>
      <w:r w:rsidRPr="00FB06A1">
        <w:rPr>
          <w:rFonts w:cstheme="minorHAnsi"/>
          <w:sz w:val="26"/>
          <w:szCs w:val="26"/>
        </w:rPr>
        <w:t>.</w:t>
      </w:r>
      <w:r w:rsidR="00984F48" w:rsidRPr="00FB06A1">
        <w:rPr>
          <w:rFonts w:cstheme="minorHAnsi"/>
          <w:sz w:val="26"/>
          <w:szCs w:val="26"/>
        </w:rPr>
        <w:t xml:space="preserve"> </w:t>
      </w:r>
      <w:r w:rsidR="00D349E0" w:rsidRPr="00FB06A1">
        <w:rPr>
          <w:rFonts w:cstheme="minorHAnsi"/>
          <w:sz w:val="26"/>
          <w:szCs w:val="26"/>
        </w:rPr>
        <w:t>The work addressed cover</w:t>
      </w:r>
      <w:r w:rsidR="00BB1BA6">
        <w:rPr>
          <w:rFonts w:cstheme="minorHAnsi"/>
          <w:sz w:val="26"/>
          <w:szCs w:val="26"/>
        </w:rPr>
        <w:t>s</w:t>
      </w:r>
      <w:r w:rsidR="00D349E0" w:rsidRPr="00FB06A1">
        <w:rPr>
          <w:rFonts w:cstheme="minorHAnsi"/>
          <w:sz w:val="26"/>
          <w:szCs w:val="26"/>
        </w:rPr>
        <w:t xml:space="preserve"> a broad range of topics from </w:t>
      </w:r>
      <w:r w:rsidR="00FE37EE" w:rsidRPr="00332C4C">
        <w:rPr>
          <w:rFonts w:cstheme="minorHAnsi"/>
          <w:sz w:val="26"/>
          <w:szCs w:val="26"/>
        </w:rPr>
        <w:t xml:space="preserve">the </w:t>
      </w:r>
      <w:r w:rsidR="00FE37EE" w:rsidRPr="00FE37EE">
        <w:rPr>
          <w:rFonts w:cstheme="minorHAnsi"/>
          <w:sz w:val="26"/>
          <w:szCs w:val="26"/>
        </w:rPr>
        <w:t xml:space="preserve">strategy for monitoring compliance for NOx and </w:t>
      </w:r>
      <w:proofErr w:type="spellStart"/>
      <w:r w:rsidR="00FE37EE" w:rsidRPr="00FE37EE">
        <w:rPr>
          <w:rFonts w:cstheme="minorHAnsi"/>
          <w:sz w:val="26"/>
          <w:szCs w:val="26"/>
        </w:rPr>
        <w:t>SOx</w:t>
      </w:r>
      <w:proofErr w:type="spellEnd"/>
      <w:r w:rsidR="00FE37EE">
        <w:rPr>
          <w:rFonts w:cstheme="minorHAnsi"/>
          <w:sz w:val="26"/>
          <w:szCs w:val="26"/>
        </w:rPr>
        <w:t xml:space="preserve">, </w:t>
      </w:r>
      <w:r w:rsidR="00984F48" w:rsidRPr="00FB06A1">
        <w:rPr>
          <w:rFonts w:cstheme="minorHAnsi"/>
          <w:sz w:val="26"/>
          <w:szCs w:val="26"/>
        </w:rPr>
        <w:t>cooperation</w:t>
      </w:r>
      <w:r w:rsidR="00D349E0" w:rsidRPr="00FB06A1">
        <w:rPr>
          <w:rFonts w:cstheme="minorHAnsi"/>
          <w:sz w:val="26"/>
          <w:szCs w:val="26"/>
        </w:rPr>
        <w:t xml:space="preserve"> on enforcement</w:t>
      </w:r>
      <w:r w:rsidR="00984F48" w:rsidRPr="00FB06A1">
        <w:rPr>
          <w:rFonts w:cstheme="minorHAnsi"/>
          <w:sz w:val="26"/>
          <w:szCs w:val="26"/>
        </w:rPr>
        <w:t xml:space="preserve"> with </w:t>
      </w:r>
      <w:r w:rsidR="000E33FD">
        <w:rPr>
          <w:rFonts w:cstheme="minorHAnsi"/>
          <w:sz w:val="26"/>
          <w:szCs w:val="26"/>
        </w:rPr>
        <w:t>OSPAR</w:t>
      </w:r>
      <w:r w:rsidR="000E33FD" w:rsidRPr="000E33FD">
        <w:rPr>
          <w:rFonts w:cstheme="minorHAnsi"/>
          <w:sz w:val="26"/>
          <w:szCs w:val="26"/>
        </w:rPr>
        <w:t>’</w:t>
      </w:r>
      <w:r w:rsidR="000E33FD">
        <w:rPr>
          <w:rFonts w:cstheme="minorHAnsi"/>
          <w:sz w:val="26"/>
          <w:szCs w:val="26"/>
        </w:rPr>
        <w:t>s</w:t>
      </w:r>
      <w:r w:rsidR="00984F48" w:rsidRPr="00FB06A1">
        <w:rPr>
          <w:rFonts w:cstheme="minorHAnsi"/>
          <w:sz w:val="26"/>
          <w:szCs w:val="26"/>
        </w:rPr>
        <w:t xml:space="preserve"> North Sea Network of Investigators and Prosecut</w:t>
      </w:r>
      <w:r w:rsidR="00D349E0" w:rsidRPr="00FB06A1">
        <w:rPr>
          <w:rFonts w:cstheme="minorHAnsi"/>
          <w:sz w:val="26"/>
          <w:szCs w:val="26"/>
        </w:rPr>
        <w:t>ors,</w:t>
      </w:r>
      <w:r w:rsidR="00FB06A1" w:rsidRPr="00FB06A1">
        <w:rPr>
          <w:rFonts w:cstheme="minorHAnsi"/>
          <w:sz w:val="26"/>
          <w:szCs w:val="26"/>
        </w:rPr>
        <w:t xml:space="preserve"> surveillance operations, the Oil Spill Identification Network (</w:t>
      </w:r>
      <w:proofErr w:type="spellStart"/>
      <w:r w:rsidR="00FB06A1" w:rsidRPr="00FB06A1">
        <w:rPr>
          <w:rFonts w:cstheme="minorHAnsi"/>
          <w:sz w:val="26"/>
          <w:szCs w:val="26"/>
        </w:rPr>
        <w:t>OSINet</w:t>
      </w:r>
      <w:proofErr w:type="spellEnd"/>
      <w:r w:rsidR="00FB06A1" w:rsidRPr="00FB06A1">
        <w:rPr>
          <w:rFonts w:cstheme="minorHAnsi"/>
          <w:sz w:val="26"/>
          <w:szCs w:val="26"/>
        </w:rPr>
        <w:t>)</w:t>
      </w:r>
      <w:r w:rsidR="00732056">
        <w:rPr>
          <w:rFonts w:cstheme="minorHAnsi"/>
          <w:sz w:val="26"/>
          <w:szCs w:val="26"/>
        </w:rPr>
        <w:t xml:space="preserve">, research </w:t>
      </w:r>
      <w:r w:rsidR="000E33FD">
        <w:rPr>
          <w:rFonts w:cstheme="minorHAnsi"/>
          <w:sz w:val="26"/>
          <w:szCs w:val="26"/>
        </w:rPr>
        <w:t xml:space="preserve">undertaken through projects </w:t>
      </w:r>
      <w:r w:rsidR="00732056">
        <w:rPr>
          <w:rFonts w:cstheme="minorHAnsi"/>
          <w:sz w:val="26"/>
          <w:szCs w:val="26"/>
        </w:rPr>
        <w:t>and</w:t>
      </w:r>
      <w:r w:rsidR="00FB06A1">
        <w:rPr>
          <w:rFonts w:cstheme="minorHAnsi"/>
          <w:sz w:val="26"/>
          <w:szCs w:val="26"/>
        </w:rPr>
        <w:t xml:space="preserve"> </w:t>
      </w:r>
      <w:r w:rsidR="00FB06A1" w:rsidRPr="00FB06A1">
        <w:rPr>
          <w:rFonts w:cstheme="minorHAnsi"/>
          <w:sz w:val="26"/>
          <w:szCs w:val="26"/>
        </w:rPr>
        <w:t>the communication strategy.</w:t>
      </w:r>
    </w:p>
    <w:p w14:paraId="0A8B25E1" w14:textId="36D94D99" w:rsidR="00D0666B" w:rsidRDefault="00D349E0" w:rsidP="000326B5">
      <w:pPr>
        <w:pStyle w:val="ListParagraph"/>
        <w:numPr>
          <w:ilvl w:val="0"/>
          <w:numId w:val="5"/>
        </w:numPr>
        <w:rPr>
          <w:rFonts w:cstheme="minorHAnsi"/>
          <w:sz w:val="26"/>
          <w:szCs w:val="26"/>
        </w:rPr>
      </w:pPr>
      <w:r>
        <w:rPr>
          <w:rFonts w:cstheme="minorHAnsi"/>
          <w:sz w:val="26"/>
          <w:szCs w:val="26"/>
        </w:rPr>
        <w:t xml:space="preserve">3 of the </w:t>
      </w:r>
      <w:r w:rsidR="007907F4">
        <w:rPr>
          <w:rFonts w:cstheme="minorHAnsi"/>
          <w:sz w:val="26"/>
          <w:szCs w:val="26"/>
        </w:rPr>
        <w:t xml:space="preserve">4 </w:t>
      </w:r>
      <w:r>
        <w:rPr>
          <w:rFonts w:cstheme="minorHAnsi"/>
          <w:sz w:val="26"/>
          <w:szCs w:val="26"/>
        </w:rPr>
        <w:t xml:space="preserve">one-off tasks </w:t>
      </w:r>
      <w:r w:rsidR="00D0666B" w:rsidRPr="00B908DD">
        <w:rPr>
          <w:rFonts w:cstheme="minorHAnsi"/>
          <w:b/>
          <w:bCs/>
          <w:sz w:val="26"/>
          <w:szCs w:val="26"/>
        </w:rPr>
        <w:t>have been completed</w:t>
      </w:r>
      <w:r w:rsidR="00D0666B" w:rsidRPr="00B908DD">
        <w:rPr>
          <w:rFonts w:cstheme="minorHAnsi"/>
          <w:sz w:val="26"/>
          <w:szCs w:val="26"/>
        </w:rPr>
        <w:t xml:space="preserve"> </w:t>
      </w:r>
      <w:r>
        <w:rPr>
          <w:rFonts w:cstheme="minorHAnsi"/>
          <w:sz w:val="26"/>
          <w:szCs w:val="26"/>
        </w:rPr>
        <w:t xml:space="preserve">resulting in the </w:t>
      </w:r>
      <w:r w:rsidRPr="00D349E0">
        <w:rPr>
          <w:rFonts w:cstheme="minorHAnsi"/>
          <w:sz w:val="26"/>
          <w:szCs w:val="26"/>
        </w:rPr>
        <w:t>development of a joint HNS Response Manual</w:t>
      </w:r>
      <w:r>
        <w:rPr>
          <w:rFonts w:cstheme="minorHAnsi"/>
          <w:sz w:val="26"/>
          <w:szCs w:val="26"/>
        </w:rPr>
        <w:t xml:space="preserve"> and a t</w:t>
      </w:r>
      <w:r w:rsidRPr="00D349E0">
        <w:rPr>
          <w:rFonts w:cstheme="minorHAnsi"/>
          <w:sz w:val="26"/>
          <w:szCs w:val="26"/>
        </w:rPr>
        <w:t>rend analysis of the BE-AWARE Project 2030</w:t>
      </w:r>
      <w:r>
        <w:rPr>
          <w:rFonts w:cstheme="minorHAnsi"/>
          <w:sz w:val="26"/>
          <w:szCs w:val="26"/>
        </w:rPr>
        <w:t>.</w:t>
      </w:r>
    </w:p>
    <w:p w14:paraId="7F913FD6" w14:textId="77777777" w:rsidR="000C6CD5" w:rsidRPr="000C6CD5" w:rsidRDefault="000C6CD5" w:rsidP="000326B5">
      <w:pPr>
        <w:pStyle w:val="ListParagraph"/>
        <w:numPr>
          <w:ilvl w:val="0"/>
          <w:numId w:val="5"/>
        </w:numPr>
        <w:rPr>
          <w:rFonts w:cs="Calibri"/>
          <w:color w:val="000000"/>
        </w:rPr>
      </w:pPr>
      <w:r>
        <w:rPr>
          <w:rFonts w:cstheme="minorHAnsi"/>
          <w:b/>
          <w:bCs/>
          <w:sz w:val="26"/>
          <w:szCs w:val="26"/>
        </w:rPr>
        <w:t>Resourcing remains an issue</w:t>
      </w:r>
      <w:r w:rsidRPr="000C6CD5">
        <w:rPr>
          <w:rFonts w:cstheme="minorHAnsi"/>
          <w:sz w:val="26"/>
          <w:szCs w:val="26"/>
        </w:rPr>
        <w:t xml:space="preserve"> and a column on funding was added to the Implementation Plan, linked to the work on the identification of regional priorities.</w:t>
      </w:r>
      <w:r>
        <w:rPr>
          <w:rFonts w:cstheme="minorHAnsi"/>
          <w:b/>
          <w:bCs/>
          <w:sz w:val="26"/>
          <w:szCs w:val="26"/>
        </w:rPr>
        <w:t xml:space="preserve"> </w:t>
      </w:r>
    </w:p>
    <w:p w14:paraId="3778E847" w14:textId="20CF3DD1" w:rsidR="00D349E0" w:rsidRPr="00B908DD" w:rsidRDefault="00D349E0" w:rsidP="000326B5">
      <w:pPr>
        <w:pStyle w:val="ListParagraph"/>
        <w:numPr>
          <w:ilvl w:val="0"/>
          <w:numId w:val="5"/>
        </w:numPr>
        <w:rPr>
          <w:rFonts w:cstheme="minorHAnsi"/>
          <w:sz w:val="26"/>
          <w:szCs w:val="26"/>
        </w:rPr>
      </w:pPr>
      <w:r>
        <w:rPr>
          <w:rFonts w:cstheme="minorHAnsi"/>
          <w:sz w:val="26"/>
          <w:szCs w:val="26"/>
        </w:rPr>
        <w:t>Most of the tasks f</w:t>
      </w:r>
      <w:r w:rsidR="00FB06A1">
        <w:rPr>
          <w:rFonts w:cstheme="minorHAnsi"/>
          <w:sz w:val="26"/>
          <w:szCs w:val="26"/>
        </w:rPr>
        <w:t>ro</w:t>
      </w:r>
      <w:r>
        <w:rPr>
          <w:rFonts w:cstheme="minorHAnsi"/>
          <w:sz w:val="26"/>
          <w:szCs w:val="26"/>
        </w:rPr>
        <w:t xml:space="preserve">m the BASAP are </w:t>
      </w:r>
      <w:r w:rsidRPr="00FB06A1">
        <w:rPr>
          <w:rFonts w:cstheme="minorHAnsi"/>
          <w:b/>
          <w:bCs/>
          <w:sz w:val="26"/>
          <w:szCs w:val="26"/>
        </w:rPr>
        <w:t>being taken forward</w:t>
      </w:r>
      <w:r>
        <w:rPr>
          <w:rFonts w:cstheme="minorHAnsi"/>
          <w:sz w:val="26"/>
          <w:szCs w:val="26"/>
        </w:rPr>
        <w:t xml:space="preserve"> in the new strategy</w:t>
      </w:r>
      <w:r w:rsidR="000C6CD5">
        <w:rPr>
          <w:rFonts w:cstheme="minorHAnsi"/>
          <w:sz w:val="26"/>
          <w:szCs w:val="26"/>
        </w:rPr>
        <w:t>, which will cover a 10-year period.</w:t>
      </w:r>
    </w:p>
    <w:p w14:paraId="7174C77D" w14:textId="55608020" w:rsidR="000C6CD5" w:rsidRPr="00712FD6" w:rsidRDefault="000C6CD5" w:rsidP="000C6CD5">
      <w:pPr>
        <w:pStyle w:val="Heading1"/>
        <w:rPr>
          <w:rFonts w:asciiTheme="minorHAnsi" w:hAnsiTheme="minorHAnsi" w:cstheme="minorHAnsi"/>
          <w:b/>
          <w:bCs/>
        </w:rPr>
      </w:pPr>
      <w:r w:rsidRPr="00712FD6">
        <w:rPr>
          <w:rFonts w:asciiTheme="minorHAnsi" w:hAnsiTheme="minorHAnsi" w:cstheme="minorHAnsi"/>
          <w:b/>
          <w:bCs/>
        </w:rPr>
        <w:t xml:space="preserve">What has </w:t>
      </w:r>
      <w:r>
        <w:rPr>
          <w:rFonts w:asciiTheme="minorHAnsi" w:hAnsiTheme="minorHAnsi" w:cstheme="minorHAnsi"/>
          <w:b/>
          <w:bCs/>
        </w:rPr>
        <w:t>the Bonn Agreement</w:t>
      </w:r>
      <w:r w:rsidRPr="00712FD6">
        <w:rPr>
          <w:rFonts w:asciiTheme="minorHAnsi" w:hAnsiTheme="minorHAnsi" w:cstheme="minorHAnsi"/>
          <w:b/>
          <w:bCs/>
        </w:rPr>
        <w:t xml:space="preserve"> done to implement the objectives of </w:t>
      </w:r>
      <w:r>
        <w:rPr>
          <w:rFonts w:asciiTheme="minorHAnsi" w:hAnsiTheme="minorHAnsi" w:cstheme="minorHAnsi"/>
          <w:b/>
          <w:bCs/>
        </w:rPr>
        <w:t>its</w:t>
      </w:r>
      <w:r w:rsidRPr="00712FD6">
        <w:rPr>
          <w:rFonts w:asciiTheme="minorHAnsi" w:hAnsiTheme="minorHAnsi" w:cstheme="minorHAnsi"/>
          <w:b/>
          <w:bCs/>
        </w:rPr>
        <w:t xml:space="preserve"> </w:t>
      </w:r>
      <w:r w:rsidRPr="000C6CD5">
        <w:rPr>
          <w:rFonts w:asciiTheme="minorHAnsi" w:hAnsiTheme="minorHAnsi" w:cstheme="minorHAnsi"/>
          <w:b/>
          <w:bCs/>
        </w:rPr>
        <w:t>Strategic Action Plan</w:t>
      </w:r>
      <w:r w:rsidRPr="00712FD6">
        <w:rPr>
          <w:rFonts w:asciiTheme="minorHAnsi" w:hAnsiTheme="minorHAnsi" w:cstheme="minorHAnsi"/>
          <w:b/>
          <w:bCs/>
        </w:rPr>
        <w:t>?</w:t>
      </w:r>
    </w:p>
    <w:p w14:paraId="5596B8F0" w14:textId="519596B2" w:rsidR="0026108B" w:rsidRPr="000C6CD5" w:rsidRDefault="0026108B" w:rsidP="000C6CD5">
      <w:pPr>
        <w:rPr>
          <w:rFonts w:cstheme="minorHAnsi"/>
        </w:rPr>
      </w:pPr>
      <w:r w:rsidRPr="000C6CD5">
        <w:rPr>
          <w:rFonts w:cstheme="minorHAnsi"/>
        </w:rPr>
        <w:t>Since 2010 the Bonn Agreement has been working under action plans to guide its scientific, technical and operational work. These action plans are high-level political endorsements used to prioriti</w:t>
      </w:r>
      <w:r w:rsidR="000E33FD">
        <w:rPr>
          <w:rFonts w:cstheme="minorHAnsi"/>
        </w:rPr>
        <w:t>s</w:t>
      </w:r>
      <w:r w:rsidRPr="000C6CD5">
        <w:rPr>
          <w:rFonts w:cstheme="minorHAnsi"/>
        </w:rPr>
        <w:t>e the work of the Contracting Parties, to create public and political awareness and to facilitate the necessary funding. Actions plans for the Bonn Agreement have covered a three- or six-year period:</w:t>
      </w:r>
      <w:r w:rsidR="000C6CD5">
        <w:rPr>
          <w:rFonts w:cstheme="minorHAnsi"/>
        </w:rPr>
        <w:t xml:space="preserve"> Bonn Agreement Action Plan (BAAP) for 2010-2013, 2013-2016, 201</w:t>
      </w:r>
      <w:r w:rsidR="00A43ABF">
        <w:rPr>
          <w:rFonts w:cstheme="minorHAnsi"/>
        </w:rPr>
        <w:t>6</w:t>
      </w:r>
      <w:r w:rsidR="000C6CD5">
        <w:rPr>
          <w:rFonts w:cstheme="minorHAnsi"/>
        </w:rPr>
        <w:t xml:space="preserve">-2019 and the </w:t>
      </w:r>
      <w:hyperlink r:id="rId9" w:history="1">
        <w:r w:rsidR="000C6CD5" w:rsidRPr="000C6CD5">
          <w:rPr>
            <w:rFonts w:cstheme="minorHAnsi"/>
          </w:rPr>
          <w:t>Bonn Agreement Strategic Action Plan</w:t>
        </w:r>
        <w:r w:rsidR="000C6CD5">
          <w:rPr>
            <w:rFonts w:cstheme="minorHAnsi"/>
          </w:rPr>
          <w:t xml:space="preserve"> (BASAP) for</w:t>
        </w:r>
        <w:r w:rsidR="000C6CD5" w:rsidRPr="000C6CD5">
          <w:rPr>
            <w:rFonts w:cstheme="minorHAnsi"/>
          </w:rPr>
          <w:t xml:space="preserve"> 2019-2025</w:t>
        </w:r>
      </w:hyperlink>
      <w:r w:rsidR="000C6CD5">
        <w:rPr>
          <w:rFonts w:cstheme="minorHAnsi"/>
        </w:rPr>
        <w:t>.</w:t>
      </w:r>
    </w:p>
    <w:p w14:paraId="2151531E" w14:textId="71BD0871" w:rsidR="0026108B" w:rsidRPr="00384E94" w:rsidRDefault="0026108B" w:rsidP="000E33FD">
      <w:pPr>
        <w:rPr>
          <w:rFonts w:cs="Calibri"/>
          <w:color w:val="000000"/>
        </w:rPr>
      </w:pPr>
      <w:r w:rsidRPr="000C6CD5">
        <w:rPr>
          <w:rFonts w:cstheme="minorHAnsi"/>
        </w:rPr>
        <w:t xml:space="preserve">The </w:t>
      </w:r>
      <w:hyperlink r:id="rId10" w:history="1">
        <w:r w:rsidRPr="000C6CD5">
          <w:rPr>
            <w:rFonts w:cstheme="minorHAnsi"/>
          </w:rPr>
          <w:t>Bonn Agreement Strategic Action Plan 2019-2025</w:t>
        </w:r>
      </w:hyperlink>
      <w:r w:rsidRPr="000C6CD5">
        <w:rPr>
          <w:rFonts w:cstheme="minorHAnsi"/>
        </w:rPr>
        <w:t xml:space="preserve"> was adopted by the 2019 Ministerial Meeting. To achieve the Bonn Agreement vision “a clean Greater North Sea without accidental and illegal </w:t>
      </w:r>
      <w:r w:rsidRPr="000C6CD5">
        <w:rPr>
          <w:rFonts w:cstheme="minorHAnsi"/>
        </w:rPr>
        <w:lastRenderedPageBreak/>
        <w:t>pollution from shipping and other maritime activities”, the BASAP 2019-2025 establishes the following strategic levels:</w:t>
      </w:r>
      <w:r w:rsidR="000E33FD">
        <w:rPr>
          <w:rFonts w:cstheme="minorHAnsi"/>
        </w:rPr>
        <w:t xml:space="preserve"> three main s</w:t>
      </w:r>
      <w:r w:rsidRPr="00126ECC">
        <w:rPr>
          <w:rFonts w:cs="Calibri"/>
          <w:color w:val="000000"/>
        </w:rPr>
        <w:t>trategic aims</w:t>
      </w:r>
      <w:r>
        <w:rPr>
          <w:rFonts w:cs="Calibri"/>
          <w:color w:val="000000"/>
        </w:rPr>
        <w:t xml:space="preserve"> (prevention, preparedness and response)</w:t>
      </w:r>
      <w:r w:rsidR="000E33FD">
        <w:rPr>
          <w:rFonts w:cs="Calibri"/>
          <w:color w:val="000000"/>
        </w:rPr>
        <w:t>, o</w:t>
      </w:r>
      <w:r w:rsidRPr="00126ECC">
        <w:rPr>
          <w:rFonts w:cs="Calibri"/>
          <w:color w:val="000000"/>
        </w:rPr>
        <w:t>perational objectives</w:t>
      </w:r>
      <w:r w:rsidR="000E33FD">
        <w:rPr>
          <w:rFonts w:cs="Calibri"/>
          <w:color w:val="000000"/>
        </w:rPr>
        <w:t>, a</w:t>
      </w:r>
      <w:r w:rsidRPr="00126ECC">
        <w:rPr>
          <w:rFonts w:cs="Calibri"/>
          <w:color w:val="000000"/>
        </w:rPr>
        <w:t>ctions</w:t>
      </w:r>
      <w:r w:rsidR="000E33FD">
        <w:rPr>
          <w:rFonts w:cs="Calibri"/>
          <w:color w:val="000000"/>
        </w:rPr>
        <w:t xml:space="preserve"> and t</w:t>
      </w:r>
      <w:r w:rsidRPr="00470CC6">
        <w:rPr>
          <w:rFonts w:cs="Calibri"/>
          <w:color w:val="000000"/>
        </w:rPr>
        <w:t>asks</w:t>
      </w:r>
      <w:r w:rsidR="000E33FD">
        <w:rPr>
          <w:rFonts w:cs="Calibri"/>
          <w:color w:val="000000"/>
        </w:rPr>
        <w:t>.</w:t>
      </w:r>
    </w:p>
    <w:p w14:paraId="29FBA9DC" w14:textId="77777777" w:rsidR="00DC5E08" w:rsidRPr="00DC5E08" w:rsidRDefault="00DC5E08" w:rsidP="00DC5E08">
      <w:pPr>
        <w:spacing w:before="240"/>
        <w:rPr>
          <w:rFonts w:cstheme="minorHAnsi"/>
        </w:rPr>
      </w:pPr>
      <w:r w:rsidRPr="00DC5E08">
        <w:rPr>
          <w:rFonts w:cstheme="minorHAnsi"/>
          <w:b/>
          <w:bCs/>
        </w:rPr>
        <w:t xml:space="preserve">Annex 1 </w:t>
      </w:r>
      <w:r w:rsidRPr="00DC5E08">
        <w:rPr>
          <w:rFonts w:cstheme="minorHAnsi"/>
        </w:rPr>
        <w:t>includes the Bonn Agreement Strategic Action Plan 2019-2025.</w:t>
      </w:r>
    </w:p>
    <w:p w14:paraId="47EE6E0E" w14:textId="72C318E1" w:rsidR="0026108B" w:rsidRDefault="0026108B" w:rsidP="00543AD6">
      <w:pPr>
        <w:rPr>
          <w:rFonts w:cs="Calibri"/>
          <w:color w:val="000000"/>
          <w:lang w:val="nl-NL"/>
        </w:rPr>
      </w:pPr>
      <w:r w:rsidRPr="00EA684C">
        <w:rPr>
          <w:rFonts w:cs="Calibri"/>
          <w:color w:val="000000"/>
          <w:lang w:val="nl-NL"/>
        </w:rPr>
        <w:t xml:space="preserve">The Implementation </w:t>
      </w:r>
      <w:r w:rsidR="000B356A">
        <w:rPr>
          <w:rFonts w:cs="Calibri"/>
          <w:color w:val="000000"/>
          <w:lang w:val="nl-NL"/>
        </w:rPr>
        <w:t xml:space="preserve">report </w:t>
      </w:r>
      <w:r w:rsidRPr="00EA684C">
        <w:rPr>
          <w:rFonts w:cs="Calibri"/>
          <w:color w:val="000000"/>
          <w:lang w:val="nl-NL"/>
        </w:rPr>
        <w:t xml:space="preserve">of the BASAP is used to monitor progress on the specific tasks and establishes </w:t>
      </w:r>
      <w:r w:rsidR="00BB1BA6">
        <w:rPr>
          <w:rFonts w:cs="Calibri"/>
          <w:color w:val="000000"/>
          <w:lang w:val="nl-NL"/>
        </w:rPr>
        <w:t xml:space="preserve">their </w:t>
      </w:r>
      <w:r w:rsidRPr="00EA684C">
        <w:rPr>
          <w:rFonts w:cs="Calibri"/>
          <w:color w:val="000000"/>
          <w:lang w:val="nl-NL"/>
        </w:rPr>
        <w:t xml:space="preserve">target date, lead, progress, status and funding/regional cooperation. Many of the tasks </w:t>
      </w:r>
      <w:r w:rsidR="000E33FD">
        <w:rPr>
          <w:rFonts w:cs="Calibri"/>
          <w:color w:val="000000"/>
          <w:lang w:val="nl-NL"/>
        </w:rPr>
        <w:t>have been</w:t>
      </w:r>
      <w:r w:rsidRPr="00EA684C">
        <w:rPr>
          <w:rFonts w:cs="Calibri"/>
          <w:color w:val="000000"/>
          <w:lang w:val="nl-NL"/>
        </w:rPr>
        <w:t xml:space="preserve"> ongoing for the whole period or </w:t>
      </w:r>
      <w:r w:rsidR="00BB1BA6">
        <w:rPr>
          <w:rFonts w:cs="Calibri"/>
          <w:color w:val="000000"/>
          <w:lang w:val="nl-NL"/>
        </w:rPr>
        <w:t xml:space="preserve">are </w:t>
      </w:r>
      <w:r w:rsidRPr="00EA684C">
        <w:rPr>
          <w:rFonts w:cs="Calibri"/>
          <w:color w:val="000000"/>
          <w:lang w:val="nl-NL"/>
        </w:rPr>
        <w:t>undertaken when required.</w:t>
      </w:r>
    </w:p>
    <w:p w14:paraId="2F065575" w14:textId="62FFF91E" w:rsidR="006A7E57" w:rsidRPr="00EA684C" w:rsidRDefault="006A7E57" w:rsidP="00543AD6">
      <w:pPr>
        <w:rPr>
          <w:rFonts w:cs="Calibri"/>
          <w:color w:val="000000"/>
          <w:lang w:val="nl-NL"/>
        </w:rPr>
      </w:pPr>
      <w:r>
        <w:rPr>
          <w:rFonts w:cs="Calibri"/>
          <w:color w:val="000000"/>
          <w:lang w:val="nl-NL"/>
        </w:rPr>
        <w:t>Tha tasks are undertaken by</w:t>
      </w:r>
      <w:r w:rsidR="00E834FA">
        <w:rPr>
          <w:rFonts w:cs="Calibri"/>
          <w:color w:val="000000"/>
          <w:lang w:val="nl-NL"/>
        </w:rPr>
        <w:t xml:space="preserve"> Contracting Parties  and</w:t>
      </w:r>
      <w:r>
        <w:rPr>
          <w:rFonts w:cs="Calibri"/>
          <w:color w:val="000000"/>
          <w:lang w:val="nl-NL"/>
        </w:rPr>
        <w:t xml:space="preserve"> the Bonn Agreement</w:t>
      </w:r>
      <w:r w:rsidR="00E834FA">
        <w:rPr>
          <w:rFonts w:cs="Calibri"/>
          <w:color w:val="000000"/>
          <w:lang w:val="nl-NL"/>
        </w:rPr>
        <w:t xml:space="preserve"> </w:t>
      </w:r>
      <w:r>
        <w:rPr>
          <w:rFonts w:cs="Calibri"/>
          <w:color w:val="000000"/>
          <w:lang w:val="nl-NL"/>
        </w:rPr>
        <w:t xml:space="preserve">subsidiary groups incuding </w:t>
      </w:r>
      <w:r w:rsidRPr="00CB1EE2">
        <w:rPr>
          <w:rFonts w:eastAsia="Calibri" w:cs="Arial"/>
          <w:szCs w:val="22"/>
        </w:rPr>
        <w:t xml:space="preserve">the </w:t>
      </w:r>
      <w:r>
        <w:rPr>
          <w:rFonts w:eastAsia="Calibri" w:cs="Arial"/>
          <w:szCs w:val="22"/>
        </w:rPr>
        <w:t xml:space="preserve">working groups on </w:t>
      </w:r>
      <w:r w:rsidR="00E834FA" w:rsidRPr="00E834FA">
        <w:rPr>
          <w:rFonts w:eastAsia="Calibri" w:cs="Arial"/>
          <w:szCs w:val="22"/>
          <w:lang w:val="en-US"/>
        </w:rPr>
        <w:t>Working Group on</w:t>
      </w:r>
      <w:r w:rsidR="00E834FA">
        <w:rPr>
          <w:rFonts w:eastAsia="Calibri" w:cs="Arial"/>
          <w:szCs w:val="22"/>
          <w:lang w:val="en-US"/>
        </w:rPr>
        <w:t xml:space="preserve"> </w:t>
      </w:r>
      <w:r w:rsidR="00E834FA" w:rsidRPr="00E834FA">
        <w:rPr>
          <w:rFonts w:eastAsia="Calibri" w:cs="Arial"/>
          <w:szCs w:val="22"/>
          <w:lang w:val="en-US"/>
        </w:rPr>
        <w:t>Operational, Technical and Scientific Questions Concerning Counter-Pollution Activities</w:t>
      </w:r>
      <w:r w:rsidR="00E834FA">
        <w:rPr>
          <w:rFonts w:eastAsia="Calibri" w:cs="Arial"/>
          <w:szCs w:val="22"/>
          <w:lang w:val="en-US"/>
        </w:rPr>
        <w:t xml:space="preserve"> </w:t>
      </w:r>
      <w:r w:rsidR="00E834FA" w:rsidRPr="00E834FA">
        <w:rPr>
          <w:rFonts w:eastAsia="Calibri" w:cs="Arial"/>
          <w:szCs w:val="22"/>
          <w:lang w:val="en-US"/>
        </w:rPr>
        <w:t>(OTSOPA)</w:t>
      </w:r>
      <w:r>
        <w:rPr>
          <w:rFonts w:eastAsia="Calibri" w:cs="Arial"/>
          <w:szCs w:val="22"/>
        </w:rPr>
        <w:t xml:space="preserve">, </w:t>
      </w:r>
      <w:r w:rsidR="00332C4C">
        <w:rPr>
          <w:rFonts w:eastAsia="Calibri" w:cs="Arial"/>
          <w:szCs w:val="22"/>
        </w:rPr>
        <w:t xml:space="preserve">the MARPOL Annex VI Working Groups (MAVI WGs), </w:t>
      </w:r>
      <w:r>
        <w:rPr>
          <w:rFonts w:eastAsia="Calibri" w:cs="Arial"/>
          <w:szCs w:val="22"/>
        </w:rPr>
        <w:t xml:space="preserve">the </w:t>
      </w:r>
      <w:r w:rsidR="00E834FA">
        <w:rPr>
          <w:rFonts w:eastAsia="Calibri" w:cs="Arial"/>
          <w:szCs w:val="22"/>
        </w:rPr>
        <w:t>I</w:t>
      </w:r>
      <w:r w:rsidRPr="00CB1EE2">
        <w:rPr>
          <w:rFonts w:eastAsia="Calibri" w:cs="Arial"/>
          <w:szCs w:val="22"/>
        </w:rPr>
        <w:t xml:space="preserve">ntersessional </w:t>
      </w:r>
      <w:r w:rsidR="00E834FA">
        <w:rPr>
          <w:rFonts w:eastAsia="Calibri" w:cs="Arial"/>
          <w:szCs w:val="22"/>
        </w:rPr>
        <w:t>C</w:t>
      </w:r>
      <w:r w:rsidRPr="00CB1EE2">
        <w:rPr>
          <w:rFonts w:eastAsia="Calibri" w:cs="Arial"/>
          <w:szCs w:val="22"/>
        </w:rPr>
        <w:t xml:space="preserve">orrespondence </w:t>
      </w:r>
      <w:r w:rsidR="00E834FA">
        <w:rPr>
          <w:rFonts w:eastAsia="Calibri" w:cs="Arial"/>
          <w:szCs w:val="22"/>
        </w:rPr>
        <w:t>G</w:t>
      </w:r>
      <w:r w:rsidRPr="00CB1EE2">
        <w:rPr>
          <w:rFonts w:eastAsia="Calibri" w:cs="Arial"/>
          <w:szCs w:val="22"/>
        </w:rPr>
        <w:t>roup</w:t>
      </w:r>
      <w:r>
        <w:rPr>
          <w:rFonts w:eastAsia="Calibri" w:cs="Arial"/>
          <w:szCs w:val="22"/>
        </w:rPr>
        <w:t xml:space="preserve"> on Regional Priorities (ICG-RP)</w:t>
      </w:r>
      <w:r w:rsidRPr="00CB1EE2">
        <w:rPr>
          <w:rFonts w:eastAsia="Calibri" w:cs="Arial"/>
          <w:szCs w:val="22"/>
        </w:rPr>
        <w:t xml:space="preserve">, </w:t>
      </w:r>
      <w:r w:rsidR="00E834FA">
        <w:rPr>
          <w:rFonts w:eastAsia="Calibri" w:cs="Arial"/>
          <w:szCs w:val="22"/>
        </w:rPr>
        <w:t xml:space="preserve">the </w:t>
      </w:r>
      <w:r w:rsidRPr="00CB1EE2">
        <w:rPr>
          <w:rFonts w:eastAsia="Calibri" w:cs="Arial"/>
          <w:szCs w:val="22"/>
        </w:rPr>
        <w:t>Expert Assessment Panel (EAP)</w:t>
      </w:r>
      <w:r>
        <w:rPr>
          <w:rFonts w:eastAsia="Calibri" w:cs="Arial"/>
          <w:szCs w:val="22"/>
        </w:rPr>
        <w:t xml:space="preserve"> on Surveillance and the Oil Spill Identification Network (</w:t>
      </w:r>
      <w:proofErr w:type="spellStart"/>
      <w:r>
        <w:rPr>
          <w:rFonts w:eastAsia="Calibri" w:cs="Arial"/>
          <w:szCs w:val="22"/>
        </w:rPr>
        <w:t>OSINet</w:t>
      </w:r>
      <w:proofErr w:type="spellEnd"/>
      <w:r>
        <w:rPr>
          <w:rFonts w:eastAsia="Calibri" w:cs="Arial"/>
          <w:szCs w:val="22"/>
        </w:rPr>
        <w:t>).</w:t>
      </w:r>
    </w:p>
    <w:bookmarkEnd w:id="0"/>
    <w:p w14:paraId="5FD4D23F" w14:textId="77777777" w:rsidR="00712FD6" w:rsidRPr="00CE1C32" w:rsidRDefault="00712FD6" w:rsidP="00543AD6">
      <w:pPr>
        <w:rPr>
          <w:rFonts w:cstheme="minorHAnsi"/>
        </w:rPr>
      </w:pPr>
      <w:r w:rsidRPr="00CE1C32">
        <w:rPr>
          <w:rFonts w:cstheme="minorHAnsi"/>
        </w:rPr>
        <w:t>Tasks have been comp</w:t>
      </w:r>
      <w:r>
        <w:rPr>
          <w:rFonts w:cstheme="minorHAnsi"/>
        </w:rPr>
        <w:t>l</w:t>
      </w:r>
      <w:r w:rsidRPr="00CE1C32">
        <w:rPr>
          <w:rFonts w:cstheme="minorHAnsi"/>
        </w:rPr>
        <w:t xml:space="preserve">eted on: </w:t>
      </w:r>
    </w:p>
    <w:p w14:paraId="4305D97F" w14:textId="2DD36A35" w:rsidR="00E834FA" w:rsidRPr="00E834FA" w:rsidRDefault="00643DD2" w:rsidP="00543AD6">
      <w:pPr>
        <w:pStyle w:val="ListParagraph"/>
        <w:numPr>
          <w:ilvl w:val="0"/>
          <w:numId w:val="4"/>
        </w:numPr>
        <w:tabs>
          <w:tab w:val="clear" w:pos="567"/>
        </w:tabs>
        <w:spacing w:before="0" w:after="200"/>
        <w:contextualSpacing/>
        <w:rPr>
          <w:rFonts w:cstheme="minorHAnsi"/>
        </w:rPr>
      </w:pPr>
      <w:r>
        <w:rPr>
          <w:rFonts w:cstheme="minorHAnsi"/>
        </w:rPr>
        <w:t>The</w:t>
      </w:r>
      <w:r w:rsidR="006A7E57">
        <w:rPr>
          <w:rFonts w:cstheme="minorHAnsi"/>
        </w:rPr>
        <w:t xml:space="preserve"> preparation of a </w:t>
      </w:r>
      <w:r w:rsidR="00E834FA" w:rsidRPr="00E834FA">
        <w:rPr>
          <w:rFonts w:cstheme="minorHAnsi"/>
        </w:rPr>
        <w:t xml:space="preserve">Marine </w:t>
      </w:r>
      <w:r w:rsidR="00E834FA" w:rsidRPr="007955E1">
        <w:rPr>
          <w:rFonts w:cstheme="minorHAnsi"/>
          <w:b/>
          <w:bCs/>
        </w:rPr>
        <w:t>HNS Response Manual Multi regional</w:t>
      </w:r>
      <w:r w:rsidR="00E834FA" w:rsidRPr="00E834FA">
        <w:rPr>
          <w:rFonts w:cstheme="minorHAnsi"/>
        </w:rPr>
        <w:t xml:space="preserve">, Bonn Agreement, HELCOM, REMPEC </w:t>
      </w:r>
      <w:r w:rsidR="00E834FA">
        <w:rPr>
          <w:rFonts w:cstheme="minorHAnsi"/>
        </w:rPr>
        <w:t>under</w:t>
      </w:r>
      <w:r w:rsidR="00E834FA" w:rsidRPr="00E834FA">
        <w:rPr>
          <w:rFonts w:cstheme="minorHAnsi"/>
        </w:rPr>
        <w:t xml:space="preserve"> the framework of the West </w:t>
      </w:r>
      <w:proofErr w:type="spellStart"/>
      <w:r w:rsidR="00E834FA" w:rsidRPr="00E834FA">
        <w:rPr>
          <w:rFonts w:cstheme="minorHAnsi"/>
        </w:rPr>
        <w:t>MOPoCo</w:t>
      </w:r>
      <w:proofErr w:type="spellEnd"/>
      <w:r w:rsidR="00E834FA" w:rsidRPr="00E834FA">
        <w:rPr>
          <w:rFonts w:cstheme="minorHAnsi"/>
        </w:rPr>
        <w:t xml:space="preserve"> project.</w:t>
      </w:r>
      <w:r w:rsidR="00E834FA">
        <w:rPr>
          <w:rFonts w:cstheme="minorHAnsi"/>
        </w:rPr>
        <w:t xml:space="preserve"> </w:t>
      </w:r>
      <w:r w:rsidR="000E33FD">
        <w:rPr>
          <w:rFonts w:cstheme="minorHAnsi"/>
        </w:rPr>
        <w:t>Following</w:t>
      </w:r>
      <w:r w:rsidR="002E3EC1">
        <w:rPr>
          <w:rFonts w:cstheme="minorHAnsi"/>
        </w:rPr>
        <w:t xml:space="preserve"> its publication </w:t>
      </w:r>
      <w:r w:rsidR="000E33FD" w:rsidRPr="00E834FA">
        <w:rPr>
          <w:rFonts w:cstheme="minorHAnsi"/>
        </w:rPr>
        <w:t>as part of the Bonn Agreement Counter Pollution Manual in 2021</w:t>
      </w:r>
      <w:r w:rsidR="000E33FD">
        <w:rPr>
          <w:rFonts w:cstheme="minorHAnsi"/>
        </w:rPr>
        <w:t xml:space="preserve">, </w:t>
      </w:r>
      <w:r w:rsidR="002E3EC1">
        <w:rPr>
          <w:rFonts w:cstheme="minorHAnsi"/>
        </w:rPr>
        <w:t xml:space="preserve">the Bonn Agreement has an agenda item on its implementation for any necessary updates. </w:t>
      </w:r>
    </w:p>
    <w:p w14:paraId="7937BB62" w14:textId="33E03C4B" w:rsidR="008B44A2" w:rsidRPr="008B44A2" w:rsidRDefault="000E33FD" w:rsidP="00543AD6">
      <w:pPr>
        <w:pStyle w:val="ListParagraph"/>
        <w:numPr>
          <w:ilvl w:val="0"/>
          <w:numId w:val="4"/>
        </w:numPr>
        <w:tabs>
          <w:tab w:val="clear" w:pos="567"/>
        </w:tabs>
        <w:spacing w:before="0" w:after="200"/>
        <w:contextualSpacing/>
        <w:rPr>
          <w:rFonts w:cstheme="minorHAnsi"/>
        </w:rPr>
      </w:pPr>
      <w:r>
        <w:rPr>
          <w:rFonts w:cstheme="minorHAnsi"/>
        </w:rPr>
        <w:t>Finalisation of a</w:t>
      </w:r>
      <w:r w:rsidR="002E3EC1">
        <w:rPr>
          <w:rFonts w:cstheme="minorHAnsi"/>
        </w:rPr>
        <w:t xml:space="preserve"> </w:t>
      </w:r>
      <w:r w:rsidR="006A7E57" w:rsidRPr="007955E1">
        <w:rPr>
          <w:rFonts w:cstheme="minorHAnsi"/>
          <w:b/>
          <w:bCs/>
        </w:rPr>
        <w:t xml:space="preserve">trend analysis of the </w:t>
      </w:r>
      <w:r w:rsidR="002E3EC1" w:rsidRPr="007955E1">
        <w:rPr>
          <w:rFonts w:cstheme="minorHAnsi"/>
          <w:b/>
          <w:bCs/>
        </w:rPr>
        <w:t>BE-AWARE project</w:t>
      </w:r>
      <w:r w:rsidR="002E3EC1">
        <w:rPr>
          <w:rFonts w:cstheme="minorHAnsi"/>
        </w:rPr>
        <w:t xml:space="preserve"> in 2019 to </w:t>
      </w:r>
      <w:r w:rsidR="002E3EC1" w:rsidRPr="002E3EC1">
        <w:rPr>
          <w:rFonts w:cstheme="minorHAnsi"/>
        </w:rPr>
        <w:t>explore the expected situation in 2030</w:t>
      </w:r>
      <w:r w:rsidR="002E3EC1">
        <w:rPr>
          <w:rFonts w:cstheme="minorHAnsi"/>
        </w:rPr>
        <w:t xml:space="preserve"> </w:t>
      </w:r>
      <w:r w:rsidR="000B356A">
        <w:rPr>
          <w:rFonts w:cstheme="minorHAnsi"/>
        </w:rPr>
        <w:t xml:space="preserve">of the </w:t>
      </w:r>
      <w:r w:rsidR="002E3EC1" w:rsidRPr="002E3EC1">
        <w:rPr>
          <w:rFonts w:cstheme="minorHAnsi"/>
        </w:rPr>
        <w:t>wide</w:t>
      </w:r>
      <w:r w:rsidR="004674EC">
        <w:rPr>
          <w:rFonts w:cstheme="minorHAnsi"/>
        </w:rPr>
        <w:t>-</w:t>
      </w:r>
      <w:r w:rsidR="002E3EC1" w:rsidRPr="002E3EC1">
        <w:rPr>
          <w:rFonts w:cstheme="minorHAnsi"/>
        </w:rPr>
        <w:t xml:space="preserve">risk assessment of marine pollution in the </w:t>
      </w:r>
      <w:r w:rsidR="004674EC">
        <w:rPr>
          <w:rFonts w:cstheme="minorHAnsi"/>
        </w:rPr>
        <w:t>Bonn Agreement area</w:t>
      </w:r>
      <w:r w:rsidR="002E3EC1" w:rsidRPr="002E3EC1">
        <w:rPr>
          <w:rFonts w:cstheme="minorHAnsi"/>
        </w:rPr>
        <w:t xml:space="preserve"> and the potential impacts of a pollution incident</w:t>
      </w:r>
      <w:r w:rsidR="000B356A">
        <w:rPr>
          <w:rFonts w:cstheme="minorHAnsi"/>
        </w:rPr>
        <w:t xml:space="preserve"> undertaken in BE-AWARE I</w:t>
      </w:r>
      <w:r w:rsidR="004674EC">
        <w:rPr>
          <w:rFonts w:cstheme="minorHAnsi"/>
        </w:rPr>
        <w:t>.</w:t>
      </w:r>
      <w:r w:rsidR="008B44A2" w:rsidRPr="008B44A2">
        <w:t xml:space="preserve"> </w:t>
      </w:r>
    </w:p>
    <w:p w14:paraId="57315A5D" w14:textId="573232AA" w:rsidR="006A7E57" w:rsidRPr="006A7E57" w:rsidRDefault="008B44A2" w:rsidP="00543AD6">
      <w:pPr>
        <w:pStyle w:val="ListParagraph"/>
        <w:numPr>
          <w:ilvl w:val="0"/>
          <w:numId w:val="4"/>
        </w:numPr>
        <w:tabs>
          <w:tab w:val="clear" w:pos="567"/>
        </w:tabs>
        <w:spacing w:before="0" w:after="200"/>
        <w:contextualSpacing/>
        <w:rPr>
          <w:rFonts w:cstheme="minorHAnsi"/>
        </w:rPr>
      </w:pPr>
      <w:r w:rsidRPr="008B44A2">
        <w:rPr>
          <w:rFonts w:cstheme="minorHAnsi"/>
        </w:rPr>
        <w:t>Establish</w:t>
      </w:r>
      <w:r w:rsidR="000E33FD">
        <w:rPr>
          <w:rFonts w:cstheme="minorHAnsi"/>
        </w:rPr>
        <w:t>ment of</w:t>
      </w:r>
      <w:r w:rsidRPr="008B44A2">
        <w:rPr>
          <w:rFonts w:cstheme="minorHAnsi"/>
        </w:rPr>
        <w:t xml:space="preserve"> a </w:t>
      </w:r>
      <w:r w:rsidRPr="008B44A2">
        <w:rPr>
          <w:rFonts w:cstheme="minorHAnsi"/>
          <w:b/>
          <w:bCs/>
        </w:rPr>
        <w:t>system for graduated joint exercises to</w:t>
      </w:r>
      <w:r w:rsidRPr="008B44A2">
        <w:rPr>
          <w:rFonts w:cstheme="minorHAnsi"/>
        </w:rPr>
        <w:t xml:space="preserve"> test and train cooperation in combating spillages</w:t>
      </w:r>
    </w:p>
    <w:p w14:paraId="7BE21A0F" w14:textId="320938F9" w:rsidR="004674EC" w:rsidRDefault="004674EC" w:rsidP="00543AD6">
      <w:pPr>
        <w:rPr>
          <w:rFonts w:cstheme="minorHAnsi"/>
        </w:rPr>
      </w:pPr>
      <w:r>
        <w:rPr>
          <w:rFonts w:cstheme="minorHAnsi"/>
        </w:rPr>
        <w:t xml:space="preserve">Progress has been made on the recurring 33 tasks, </w:t>
      </w:r>
      <w:r w:rsidR="00D87535">
        <w:rPr>
          <w:rFonts w:cstheme="minorHAnsi"/>
        </w:rPr>
        <w:t xml:space="preserve">most of them can be considered as completed during the 2019-2025 period. Some of the </w:t>
      </w:r>
      <w:r>
        <w:rPr>
          <w:rFonts w:cstheme="minorHAnsi"/>
        </w:rPr>
        <w:t>achievements</w:t>
      </w:r>
      <w:r w:rsidR="00D87535">
        <w:rPr>
          <w:rFonts w:cstheme="minorHAnsi"/>
        </w:rPr>
        <w:t xml:space="preserve"> accomplished are listed below</w:t>
      </w:r>
      <w:r>
        <w:rPr>
          <w:rFonts w:cstheme="minorHAnsi"/>
        </w:rPr>
        <w:t>:</w:t>
      </w:r>
    </w:p>
    <w:p w14:paraId="11BC3C7A" w14:textId="77777777" w:rsidR="00FE37EE" w:rsidRDefault="00FE37EE" w:rsidP="00543AD6">
      <w:pPr>
        <w:pStyle w:val="ListParagraph"/>
        <w:numPr>
          <w:ilvl w:val="0"/>
          <w:numId w:val="4"/>
        </w:numPr>
        <w:tabs>
          <w:tab w:val="clear" w:pos="567"/>
        </w:tabs>
        <w:spacing w:before="0" w:after="200"/>
        <w:contextualSpacing/>
        <w:rPr>
          <w:rFonts w:cstheme="minorHAnsi"/>
        </w:rPr>
      </w:pPr>
      <w:r>
        <w:rPr>
          <w:rFonts w:cstheme="minorHAnsi"/>
        </w:rPr>
        <w:t>D</w:t>
      </w:r>
      <w:r w:rsidRPr="008B44A2">
        <w:rPr>
          <w:rFonts w:cstheme="minorHAnsi"/>
        </w:rPr>
        <w:t xml:space="preserve">evelopment of </w:t>
      </w:r>
      <w:r w:rsidRPr="008B44A2">
        <w:rPr>
          <w:rFonts w:cstheme="minorHAnsi"/>
          <w:b/>
          <w:bCs/>
        </w:rPr>
        <w:t xml:space="preserve">a common technical strategy and operational approach for monitoring compliance for NOx and </w:t>
      </w:r>
      <w:proofErr w:type="spellStart"/>
      <w:r w:rsidRPr="008B44A2">
        <w:rPr>
          <w:rFonts w:cstheme="minorHAnsi"/>
          <w:b/>
          <w:bCs/>
        </w:rPr>
        <w:t>SOx</w:t>
      </w:r>
      <w:proofErr w:type="spellEnd"/>
      <w:r w:rsidRPr="008B44A2">
        <w:rPr>
          <w:rFonts w:cstheme="minorHAnsi"/>
        </w:rPr>
        <w:t>.</w:t>
      </w:r>
      <w:r>
        <w:rPr>
          <w:rFonts w:cstheme="minorHAnsi"/>
        </w:rPr>
        <w:t xml:space="preserve"> A </w:t>
      </w:r>
      <w:r w:rsidRPr="00783A26">
        <w:rPr>
          <w:rFonts w:cstheme="minorHAnsi"/>
        </w:rPr>
        <w:t>MARPOL Annex VI expert workshop</w:t>
      </w:r>
      <w:r>
        <w:rPr>
          <w:rFonts w:cstheme="minorHAnsi"/>
        </w:rPr>
        <w:t xml:space="preserve"> was held in 2021 </w:t>
      </w:r>
      <w:proofErr w:type="gramStart"/>
      <w:r>
        <w:rPr>
          <w:rFonts w:cstheme="minorHAnsi"/>
        </w:rPr>
        <w:t>and,</w:t>
      </w:r>
      <w:proofErr w:type="gramEnd"/>
      <w:r>
        <w:rPr>
          <w:rFonts w:cstheme="minorHAnsi"/>
        </w:rPr>
        <w:t xml:space="preserve"> as recommended by the workshop, two MARPOL Annex VI Working Groups on strategic and operational matters (MAVI SOWG) and on technical issues (MAVI TWG) were established. Both WGs have been actively involved in the preparation of an EU project proposal.</w:t>
      </w:r>
    </w:p>
    <w:p w14:paraId="259DF8A4" w14:textId="514AEE5F" w:rsidR="004674EC" w:rsidRPr="00783A26" w:rsidRDefault="00783A26" w:rsidP="00543AD6">
      <w:pPr>
        <w:pStyle w:val="ListParagraph"/>
        <w:numPr>
          <w:ilvl w:val="0"/>
          <w:numId w:val="4"/>
        </w:numPr>
        <w:tabs>
          <w:tab w:val="clear" w:pos="567"/>
        </w:tabs>
        <w:spacing w:before="0" w:after="200"/>
        <w:contextualSpacing/>
        <w:rPr>
          <w:rFonts w:cstheme="minorHAnsi"/>
        </w:rPr>
      </w:pPr>
      <w:r w:rsidRPr="00783A26">
        <w:rPr>
          <w:rFonts w:cstheme="minorHAnsi"/>
        </w:rPr>
        <w:t xml:space="preserve">Cooperation on enforcement with </w:t>
      </w:r>
      <w:r w:rsidR="007955E1" w:rsidRPr="007955E1">
        <w:rPr>
          <w:rFonts w:cstheme="minorHAnsi"/>
          <w:b/>
          <w:bCs/>
        </w:rPr>
        <w:t xml:space="preserve">OSPAR’s </w:t>
      </w:r>
      <w:r w:rsidRPr="007955E1">
        <w:rPr>
          <w:rFonts w:cstheme="minorHAnsi"/>
          <w:b/>
          <w:bCs/>
        </w:rPr>
        <w:t>North Sea Network of Investigators and Prosecutors</w:t>
      </w:r>
      <w:r w:rsidRPr="00783A26">
        <w:rPr>
          <w:rFonts w:cstheme="minorHAnsi"/>
        </w:rPr>
        <w:t xml:space="preserve">, </w:t>
      </w:r>
      <w:r w:rsidR="000E33FD">
        <w:rPr>
          <w:rFonts w:cstheme="minorHAnsi"/>
        </w:rPr>
        <w:t>including</w:t>
      </w:r>
      <w:r>
        <w:rPr>
          <w:rFonts w:cstheme="minorHAnsi"/>
        </w:rPr>
        <w:t xml:space="preserve"> a</w:t>
      </w:r>
      <w:r w:rsidR="004674EC" w:rsidRPr="00783A26">
        <w:rPr>
          <w:rFonts w:cstheme="minorHAnsi"/>
        </w:rPr>
        <w:t xml:space="preserve"> joint NSN-OTSOPA Seminar on Maritime Environmental Crimes </w:t>
      </w:r>
      <w:r>
        <w:rPr>
          <w:rFonts w:cstheme="minorHAnsi"/>
        </w:rPr>
        <w:t>in</w:t>
      </w:r>
      <w:r w:rsidR="004674EC" w:rsidRPr="00783A26">
        <w:rPr>
          <w:rFonts w:cstheme="minorHAnsi"/>
        </w:rPr>
        <w:t xml:space="preserve"> 2023 in Belgium, Brussels, </w:t>
      </w:r>
      <w:r w:rsidR="000E33FD">
        <w:rPr>
          <w:rFonts w:cstheme="minorHAnsi"/>
        </w:rPr>
        <w:t>which brought</w:t>
      </w:r>
      <w:r w:rsidR="004674EC" w:rsidRPr="00783A26">
        <w:rPr>
          <w:rFonts w:cstheme="minorHAnsi"/>
        </w:rPr>
        <w:t xml:space="preserve"> together prosecutors, maritime inspectors, technical experts and policy makers and result</w:t>
      </w:r>
      <w:r w:rsidR="000E33FD">
        <w:rPr>
          <w:rFonts w:cstheme="minorHAnsi"/>
        </w:rPr>
        <w:t>ed</w:t>
      </w:r>
      <w:r w:rsidR="004674EC" w:rsidRPr="00783A26">
        <w:rPr>
          <w:rFonts w:cstheme="minorHAnsi"/>
        </w:rPr>
        <w:t xml:space="preserve"> in</w:t>
      </w:r>
      <w:r>
        <w:rPr>
          <w:rFonts w:cstheme="minorHAnsi"/>
        </w:rPr>
        <w:t xml:space="preserve"> a set of</w:t>
      </w:r>
      <w:r w:rsidR="004674EC" w:rsidRPr="00783A26">
        <w:rPr>
          <w:rFonts w:cstheme="minorHAnsi"/>
        </w:rPr>
        <w:t xml:space="preserve"> recommendations. </w:t>
      </w:r>
    </w:p>
    <w:p w14:paraId="441D2B53" w14:textId="77C5AAFD" w:rsidR="007955E1" w:rsidRPr="007955E1" w:rsidRDefault="007955E1" w:rsidP="00543AD6">
      <w:pPr>
        <w:pStyle w:val="ListParagraph"/>
        <w:numPr>
          <w:ilvl w:val="0"/>
          <w:numId w:val="4"/>
        </w:numPr>
        <w:tabs>
          <w:tab w:val="clear" w:pos="567"/>
        </w:tabs>
        <w:spacing w:before="0" w:after="200"/>
        <w:contextualSpacing/>
        <w:rPr>
          <w:rFonts w:cstheme="minorHAnsi"/>
        </w:rPr>
      </w:pPr>
      <w:r>
        <w:rPr>
          <w:rFonts w:cstheme="minorHAnsi"/>
        </w:rPr>
        <w:t xml:space="preserve">Annual reporting of </w:t>
      </w:r>
      <w:bookmarkStart w:id="2" w:name="_Hlk203574229"/>
      <w:r w:rsidRPr="007955E1">
        <w:rPr>
          <w:rFonts w:cstheme="minorHAnsi"/>
          <w:b/>
          <w:bCs/>
        </w:rPr>
        <w:t>a</w:t>
      </w:r>
      <w:r w:rsidR="00DF5B53" w:rsidRPr="007955E1">
        <w:rPr>
          <w:rFonts w:cstheme="minorHAnsi"/>
          <w:b/>
          <w:bCs/>
        </w:rPr>
        <w:t>erial and satellite surveillance operations</w:t>
      </w:r>
      <w:r w:rsidR="00DF5B53" w:rsidRPr="00DF5B53">
        <w:rPr>
          <w:rFonts w:cstheme="minorHAnsi"/>
        </w:rPr>
        <w:t xml:space="preserve"> </w:t>
      </w:r>
      <w:r w:rsidR="00146C07">
        <w:rPr>
          <w:rFonts w:cstheme="minorHAnsi"/>
        </w:rPr>
        <w:t xml:space="preserve">validated and assessed </w:t>
      </w:r>
      <w:r w:rsidR="00DF5B53" w:rsidRPr="00DF5B53">
        <w:rPr>
          <w:rFonts w:cstheme="minorHAnsi"/>
        </w:rPr>
        <w:t xml:space="preserve">by the </w:t>
      </w:r>
      <w:r w:rsidR="00DF5B53" w:rsidRPr="007955E1">
        <w:rPr>
          <w:rFonts w:cstheme="minorHAnsi"/>
        </w:rPr>
        <w:t>Expert Assessment Panel (EAP).</w:t>
      </w:r>
    </w:p>
    <w:p w14:paraId="4A4CE0DD" w14:textId="358EF79C" w:rsidR="007955E1" w:rsidRDefault="007955E1" w:rsidP="00543AD6">
      <w:pPr>
        <w:pStyle w:val="ListParagraph"/>
        <w:numPr>
          <w:ilvl w:val="0"/>
          <w:numId w:val="4"/>
        </w:numPr>
        <w:tabs>
          <w:tab w:val="clear" w:pos="567"/>
        </w:tabs>
        <w:spacing w:before="0" w:after="200"/>
        <w:contextualSpacing/>
        <w:rPr>
          <w:rFonts w:cstheme="minorHAnsi"/>
        </w:rPr>
      </w:pPr>
      <w:r w:rsidRPr="007955E1">
        <w:rPr>
          <w:rFonts w:cstheme="minorHAnsi"/>
        </w:rPr>
        <w:t xml:space="preserve">Adaptation of the </w:t>
      </w:r>
      <w:r w:rsidRPr="007955E1">
        <w:rPr>
          <w:rFonts w:cstheme="minorHAnsi"/>
          <w:b/>
          <w:bCs/>
        </w:rPr>
        <w:t>Oil Spill Identification Network (</w:t>
      </w:r>
      <w:proofErr w:type="spellStart"/>
      <w:r w:rsidRPr="007955E1">
        <w:rPr>
          <w:rFonts w:cstheme="minorHAnsi"/>
          <w:b/>
          <w:bCs/>
        </w:rPr>
        <w:t>OSINet</w:t>
      </w:r>
      <w:proofErr w:type="spellEnd"/>
      <w:r w:rsidRPr="007955E1">
        <w:rPr>
          <w:rFonts w:cstheme="minorHAnsi"/>
          <w:b/>
          <w:bCs/>
        </w:rPr>
        <w:t>)</w:t>
      </w:r>
      <w:r w:rsidRPr="007955E1">
        <w:rPr>
          <w:rFonts w:cstheme="minorHAnsi"/>
        </w:rPr>
        <w:t xml:space="preserve"> to </w:t>
      </w:r>
      <w:r w:rsidR="000E33FD">
        <w:rPr>
          <w:rFonts w:cstheme="minorHAnsi"/>
        </w:rPr>
        <w:t xml:space="preserve">the </w:t>
      </w:r>
      <w:r w:rsidRPr="007955E1">
        <w:rPr>
          <w:rFonts w:cstheme="minorHAnsi"/>
        </w:rPr>
        <w:t xml:space="preserve">available resources </w:t>
      </w:r>
      <w:proofErr w:type="gramStart"/>
      <w:r w:rsidRPr="007955E1">
        <w:rPr>
          <w:rFonts w:cstheme="minorHAnsi"/>
        </w:rPr>
        <w:t>in order to</w:t>
      </w:r>
      <w:proofErr w:type="gramEnd"/>
      <w:r w:rsidRPr="007955E1">
        <w:rPr>
          <w:rFonts w:cstheme="minorHAnsi"/>
        </w:rPr>
        <w:t xml:space="preserve"> carry out </w:t>
      </w:r>
      <w:r>
        <w:rPr>
          <w:rFonts w:cstheme="minorHAnsi"/>
        </w:rPr>
        <w:t xml:space="preserve">annual </w:t>
      </w:r>
      <w:r w:rsidRPr="007955E1">
        <w:rPr>
          <w:rFonts w:cstheme="minorHAnsi"/>
        </w:rPr>
        <w:t xml:space="preserve">intercalibration exercises and contribution of </w:t>
      </w:r>
      <w:proofErr w:type="spellStart"/>
      <w:r w:rsidRPr="007955E1">
        <w:rPr>
          <w:rFonts w:cstheme="minorHAnsi"/>
        </w:rPr>
        <w:t>OSINet</w:t>
      </w:r>
      <w:proofErr w:type="spellEnd"/>
      <w:r w:rsidRPr="007955E1">
        <w:rPr>
          <w:rFonts w:cstheme="minorHAnsi"/>
        </w:rPr>
        <w:t xml:space="preserve"> to EMSA’s guidelines on sampling.</w:t>
      </w:r>
    </w:p>
    <w:p w14:paraId="67D4C1E3" w14:textId="0AAFE74F" w:rsidR="00836062" w:rsidRPr="00836062" w:rsidRDefault="00836062" w:rsidP="00543AD6">
      <w:pPr>
        <w:pStyle w:val="ListParagraph"/>
        <w:numPr>
          <w:ilvl w:val="0"/>
          <w:numId w:val="4"/>
        </w:numPr>
        <w:tabs>
          <w:tab w:val="clear" w:pos="567"/>
        </w:tabs>
        <w:spacing w:before="0" w:after="200"/>
        <w:contextualSpacing/>
        <w:rPr>
          <w:rFonts w:cstheme="minorHAnsi"/>
          <w:bCs/>
        </w:rPr>
      </w:pPr>
      <w:r w:rsidRPr="00836062">
        <w:rPr>
          <w:rFonts w:asciiTheme="minorHAnsi" w:hAnsiTheme="minorHAnsi" w:cstheme="minorHAnsi"/>
          <w:bCs/>
        </w:rPr>
        <w:t>Revision of the</w:t>
      </w:r>
      <w:r w:rsidRPr="00D73834">
        <w:rPr>
          <w:rFonts w:asciiTheme="minorHAnsi" w:hAnsiTheme="minorHAnsi" w:cstheme="minorHAnsi"/>
          <w:b/>
        </w:rPr>
        <w:t xml:space="preserve"> Bonn Agreement Counter Pollution Manual</w:t>
      </w:r>
      <w:r w:rsidRPr="00836062">
        <w:rPr>
          <w:rFonts w:asciiTheme="minorHAnsi" w:hAnsiTheme="minorHAnsi" w:cstheme="minorHAnsi"/>
          <w:bCs/>
        </w:rPr>
        <w:t xml:space="preserve"> including a chapter on </w:t>
      </w:r>
      <w:r w:rsidRPr="00836062">
        <w:rPr>
          <w:rFonts w:cstheme="minorHAnsi"/>
          <w:bCs/>
        </w:rPr>
        <w:t xml:space="preserve">wildlife response </w:t>
      </w:r>
      <w:r>
        <w:rPr>
          <w:rFonts w:cstheme="minorHAnsi"/>
          <w:bCs/>
        </w:rPr>
        <w:t>supported by EUROWA wh</w:t>
      </w:r>
      <w:r w:rsidR="000E33FD">
        <w:rPr>
          <w:rFonts w:cstheme="minorHAnsi"/>
          <w:bCs/>
        </w:rPr>
        <w:t>ich</w:t>
      </w:r>
      <w:r>
        <w:rPr>
          <w:rFonts w:cstheme="minorHAnsi"/>
          <w:bCs/>
        </w:rPr>
        <w:t xml:space="preserve"> bec</w:t>
      </w:r>
      <w:r w:rsidR="000E33FD">
        <w:rPr>
          <w:rFonts w:cstheme="minorHAnsi"/>
          <w:bCs/>
        </w:rPr>
        <w:t>a</w:t>
      </w:r>
      <w:r>
        <w:rPr>
          <w:rFonts w:cstheme="minorHAnsi"/>
          <w:bCs/>
        </w:rPr>
        <w:t>me observer to the Bonn Agreement in 2021.</w:t>
      </w:r>
    </w:p>
    <w:p w14:paraId="3686F1A0" w14:textId="73BC8F3C" w:rsidR="00146C07" w:rsidRPr="00146C07" w:rsidRDefault="00146C07" w:rsidP="00543AD6">
      <w:pPr>
        <w:pStyle w:val="ListParagraph"/>
        <w:numPr>
          <w:ilvl w:val="0"/>
          <w:numId w:val="4"/>
        </w:numPr>
        <w:tabs>
          <w:tab w:val="clear" w:pos="567"/>
        </w:tabs>
        <w:spacing w:before="0" w:after="200"/>
        <w:contextualSpacing/>
        <w:rPr>
          <w:rFonts w:cstheme="minorHAnsi"/>
          <w:bCs/>
        </w:rPr>
      </w:pPr>
      <w:r>
        <w:rPr>
          <w:rFonts w:cstheme="minorHAnsi"/>
        </w:rPr>
        <w:lastRenderedPageBreak/>
        <w:t xml:space="preserve">Collaboration with the </w:t>
      </w:r>
      <w:r w:rsidRPr="000E33FD">
        <w:rPr>
          <w:rFonts w:cstheme="minorHAnsi"/>
          <w:b/>
          <w:bCs/>
        </w:rPr>
        <w:t>OSPAR Commission</w:t>
      </w:r>
      <w:r>
        <w:rPr>
          <w:rFonts w:cstheme="minorHAnsi"/>
        </w:rPr>
        <w:t xml:space="preserve"> in relation to </w:t>
      </w:r>
      <w:r w:rsidRPr="00146C07">
        <w:rPr>
          <w:rFonts w:cstheme="minorHAnsi"/>
        </w:rPr>
        <w:t>the reporting obligations under the</w:t>
      </w:r>
      <w:r w:rsidRPr="00146C07">
        <w:rPr>
          <w:rFonts w:cstheme="minorHAnsi"/>
          <w:b/>
        </w:rPr>
        <w:t xml:space="preserve"> Marine Strategy Framework</w:t>
      </w:r>
      <w:r w:rsidR="00BB1BA6">
        <w:rPr>
          <w:rFonts w:cstheme="minorHAnsi"/>
          <w:b/>
        </w:rPr>
        <w:t xml:space="preserve"> Directive</w:t>
      </w:r>
      <w:r w:rsidRPr="00146C07">
        <w:rPr>
          <w:rFonts w:cstheme="minorHAnsi"/>
          <w:bCs/>
        </w:rPr>
        <w:t>, specifically in relation to significant acute pollution events.</w:t>
      </w:r>
    </w:p>
    <w:p w14:paraId="0B7A5E8F" w14:textId="44D07972" w:rsidR="008B44A2" w:rsidRDefault="00732056" w:rsidP="000326B5">
      <w:pPr>
        <w:pStyle w:val="ListParagraph"/>
        <w:numPr>
          <w:ilvl w:val="0"/>
          <w:numId w:val="4"/>
        </w:numPr>
        <w:tabs>
          <w:tab w:val="clear" w:pos="567"/>
        </w:tabs>
        <w:spacing w:before="0" w:after="200"/>
        <w:contextualSpacing/>
        <w:jc w:val="left"/>
        <w:rPr>
          <w:rFonts w:cstheme="minorHAnsi"/>
        </w:rPr>
      </w:pPr>
      <w:r>
        <w:rPr>
          <w:rFonts w:cstheme="minorHAnsi"/>
        </w:rPr>
        <w:t>Under</w:t>
      </w:r>
      <w:r w:rsidR="008B44A2">
        <w:rPr>
          <w:rFonts w:cstheme="minorHAnsi"/>
        </w:rPr>
        <w:t xml:space="preserve"> the </w:t>
      </w:r>
      <w:r w:rsidR="008B44A2" w:rsidRPr="00332C4C">
        <w:rPr>
          <w:rFonts w:cstheme="minorHAnsi"/>
          <w:b/>
          <w:bCs/>
        </w:rPr>
        <w:t>communication strategy</w:t>
      </w:r>
      <w:r w:rsidR="008B44A2">
        <w:rPr>
          <w:rFonts w:cstheme="minorHAnsi"/>
        </w:rPr>
        <w:t xml:space="preserve">, </w:t>
      </w:r>
      <w:r>
        <w:rPr>
          <w:rFonts w:cstheme="minorHAnsi"/>
        </w:rPr>
        <w:t>participation</w:t>
      </w:r>
      <w:r w:rsidR="008B44A2">
        <w:rPr>
          <w:rFonts w:cstheme="minorHAnsi"/>
        </w:rPr>
        <w:t xml:space="preserve"> </w:t>
      </w:r>
      <w:r w:rsidR="00332C4C">
        <w:rPr>
          <w:rFonts w:cstheme="minorHAnsi"/>
        </w:rPr>
        <w:t>with stan</w:t>
      </w:r>
      <w:r w:rsidR="000E33FD">
        <w:rPr>
          <w:rFonts w:cstheme="minorHAnsi"/>
        </w:rPr>
        <w:t>ds and speech</w:t>
      </w:r>
      <w:r w:rsidR="00BB1BA6">
        <w:rPr>
          <w:rFonts w:cstheme="minorHAnsi"/>
        </w:rPr>
        <w:t>es</w:t>
      </w:r>
      <w:r w:rsidR="00332C4C">
        <w:rPr>
          <w:rFonts w:cstheme="minorHAnsi"/>
        </w:rPr>
        <w:t xml:space="preserve"> </w:t>
      </w:r>
      <w:r>
        <w:rPr>
          <w:rFonts w:cstheme="minorHAnsi"/>
        </w:rPr>
        <w:t>at</w:t>
      </w:r>
      <w:r w:rsidR="008B44A2">
        <w:rPr>
          <w:rFonts w:cstheme="minorHAnsi"/>
        </w:rPr>
        <w:t xml:space="preserve"> Interspill </w:t>
      </w:r>
      <w:r w:rsidR="00332C4C">
        <w:rPr>
          <w:rFonts w:cstheme="minorHAnsi"/>
        </w:rPr>
        <w:t xml:space="preserve">events </w:t>
      </w:r>
      <w:r>
        <w:rPr>
          <w:rFonts w:cstheme="minorHAnsi"/>
        </w:rPr>
        <w:t xml:space="preserve">in </w:t>
      </w:r>
      <w:r w:rsidR="00332C4C">
        <w:rPr>
          <w:rFonts w:cstheme="minorHAnsi"/>
        </w:rPr>
        <w:t xml:space="preserve">2023 and 2025 and </w:t>
      </w:r>
      <w:r>
        <w:rPr>
          <w:rFonts w:cstheme="minorHAnsi"/>
        </w:rPr>
        <w:t>development of</w:t>
      </w:r>
      <w:r w:rsidR="00332C4C">
        <w:rPr>
          <w:rFonts w:cstheme="minorHAnsi"/>
        </w:rPr>
        <w:t xml:space="preserve"> </w:t>
      </w:r>
      <w:r w:rsidR="000E33FD">
        <w:rPr>
          <w:rFonts w:cstheme="minorHAnsi"/>
        </w:rPr>
        <w:t>the</w:t>
      </w:r>
      <w:r w:rsidR="00332C4C">
        <w:rPr>
          <w:rFonts w:cstheme="minorHAnsi"/>
        </w:rPr>
        <w:t xml:space="preserve"> Bonn Agreement Data &amp; Information Management System (BADIMS).</w:t>
      </w:r>
    </w:p>
    <w:p w14:paraId="6F11C108" w14:textId="419D1DF0" w:rsidR="00332C4C" w:rsidRPr="00332C4C" w:rsidRDefault="00732056" w:rsidP="000326B5">
      <w:pPr>
        <w:pStyle w:val="ListParagraph"/>
        <w:numPr>
          <w:ilvl w:val="0"/>
          <w:numId w:val="4"/>
        </w:numPr>
        <w:tabs>
          <w:tab w:val="clear" w:pos="567"/>
        </w:tabs>
        <w:spacing w:before="0" w:after="200"/>
        <w:contextualSpacing/>
        <w:jc w:val="left"/>
        <w:rPr>
          <w:rFonts w:cstheme="minorHAnsi"/>
        </w:rPr>
      </w:pPr>
      <w:r>
        <w:rPr>
          <w:rFonts w:cstheme="minorHAnsi"/>
        </w:rPr>
        <w:t>Support</w:t>
      </w:r>
      <w:r w:rsidR="00146C07">
        <w:rPr>
          <w:rFonts w:cstheme="minorHAnsi"/>
        </w:rPr>
        <w:t xml:space="preserve"> to</w:t>
      </w:r>
      <w:r>
        <w:rPr>
          <w:rFonts w:cstheme="minorHAnsi"/>
        </w:rPr>
        <w:t xml:space="preserve"> research</w:t>
      </w:r>
      <w:r w:rsidR="00332C4C" w:rsidRPr="00332C4C">
        <w:rPr>
          <w:rFonts w:cstheme="minorHAnsi"/>
        </w:rPr>
        <w:t xml:space="preserve"> projects </w:t>
      </w:r>
      <w:r w:rsidR="00332C4C">
        <w:rPr>
          <w:rFonts w:cstheme="minorHAnsi"/>
        </w:rPr>
        <w:t xml:space="preserve">looking into incidents where </w:t>
      </w:r>
      <w:r w:rsidR="00332C4C" w:rsidRPr="00332C4C">
        <w:rPr>
          <w:rFonts w:cstheme="minorHAnsi"/>
          <w:b/>
          <w:bCs/>
        </w:rPr>
        <w:t>new and alternative fuels</w:t>
      </w:r>
      <w:r w:rsidR="00332C4C" w:rsidRPr="00332C4C">
        <w:rPr>
          <w:rFonts w:cstheme="minorHAnsi"/>
        </w:rPr>
        <w:t xml:space="preserve"> and </w:t>
      </w:r>
      <w:r w:rsidR="00332C4C" w:rsidRPr="00332C4C">
        <w:rPr>
          <w:rFonts w:cstheme="minorHAnsi"/>
          <w:b/>
          <w:bCs/>
        </w:rPr>
        <w:t>Hazardous and Noxious Substances (HNS)</w:t>
      </w:r>
      <w:r w:rsidR="00332C4C">
        <w:rPr>
          <w:rFonts w:cstheme="minorHAnsi"/>
        </w:rPr>
        <w:t xml:space="preserve"> are involved.</w:t>
      </w:r>
    </w:p>
    <w:bookmarkEnd w:id="2"/>
    <w:p w14:paraId="2C9B9E1B" w14:textId="6FF03A3A" w:rsidR="001D4F5A" w:rsidRDefault="001D4F5A" w:rsidP="001D4F5A">
      <w:pPr>
        <w:rPr>
          <w:rFonts w:cstheme="minorHAnsi"/>
        </w:rPr>
      </w:pPr>
      <w:r w:rsidRPr="00CE1C32">
        <w:rPr>
          <w:rFonts w:cstheme="minorHAnsi"/>
        </w:rPr>
        <w:t xml:space="preserve">These examples give a good indication of the range of issues covered by </w:t>
      </w:r>
      <w:r w:rsidR="008B44A2">
        <w:rPr>
          <w:rFonts w:cstheme="minorHAnsi"/>
        </w:rPr>
        <w:t xml:space="preserve">the Bonn Agreement </w:t>
      </w:r>
      <w:r w:rsidRPr="00CE1C32">
        <w:rPr>
          <w:rFonts w:cstheme="minorHAnsi"/>
        </w:rPr>
        <w:t>and its specialist subsidiary bodies.</w:t>
      </w:r>
    </w:p>
    <w:p w14:paraId="1E7C825C" w14:textId="4197597F" w:rsidR="00DC5E08" w:rsidRPr="00CE1C32" w:rsidRDefault="00DC5E08" w:rsidP="00DC5E08">
      <w:pPr>
        <w:rPr>
          <w:rFonts w:cstheme="minorHAnsi"/>
        </w:rPr>
      </w:pPr>
      <w:r w:rsidRPr="006F4DE9">
        <w:rPr>
          <w:rFonts w:cstheme="minorHAnsi"/>
          <w:b/>
          <w:bCs/>
        </w:rPr>
        <w:t xml:space="preserve">Annex </w:t>
      </w:r>
      <w:r>
        <w:rPr>
          <w:rFonts w:cstheme="minorHAnsi"/>
          <w:b/>
          <w:bCs/>
        </w:rPr>
        <w:t>2</w:t>
      </w:r>
      <w:r>
        <w:rPr>
          <w:rFonts w:cstheme="minorHAnsi"/>
        </w:rPr>
        <w:t xml:space="preserve"> includes the BASAP 2019-2025 Implementation Plan reflecting the progress achieved by 2025.</w:t>
      </w:r>
    </w:p>
    <w:p w14:paraId="4BAAB09B" w14:textId="622C5846" w:rsidR="008D4A0C" w:rsidRDefault="008D4A0C" w:rsidP="008D4A0C">
      <w:pPr>
        <w:pStyle w:val="Heading1"/>
        <w:rPr>
          <w:rFonts w:asciiTheme="minorHAnsi" w:hAnsiTheme="minorHAnsi" w:cstheme="minorHAnsi"/>
          <w:b/>
          <w:bCs/>
        </w:rPr>
      </w:pPr>
      <w:r>
        <w:rPr>
          <w:rFonts w:asciiTheme="minorHAnsi" w:hAnsiTheme="minorHAnsi" w:cstheme="minorHAnsi"/>
          <w:b/>
          <w:bCs/>
        </w:rPr>
        <w:t>Next steps</w:t>
      </w:r>
    </w:p>
    <w:p w14:paraId="4C8C93CE" w14:textId="77777777" w:rsidR="00332C4C" w:rsidRDefault="00332C4C" w:rsidP="008D4A0C">
      <w:pPr>
        <w:rPr>
          <w:rFonts w:asciiTheme="minorHAnsi" w:hAnsiTheme="minorHAnsi" w:cstheme="minorHAnsi"/>
          <w:b/>
          <w:bCs/>
          <w:sz w:val="26"/>
          <w:szCs w:val="26"/>
        </w:rPr>
      </w:pPr>
      <w:r>
        <w:rPr>
          <w:rFonts w:asciiTheme="minorHAnsi" w:hAnsiTheme="minorHAnsi" w:cstheme="minorHAnsi"/>
          <w:b/>
          <w:bCs/>
          <w:sz w:val="26"/>
          <w:szCs w:val="26"/>
        </w:rPr>
        <w:t>Under the new Strategy, the Bonn Agreement is taking forward the recurring tasks from the BASAP 2019-2025 and adding new ones in relation to the regional priorities identified.</w:t>
      </w:r>
    </w:p>
    <w:p w14:paraId="6E32D213" w14:textId="641020C9" w:rsidR="00732056" w:rsidRDefault="00732056" w:rsidP="008D4A0C">
      <w:pPr>
        <w:rPr>
          <w:rFonts w:cstheme="minorHAnsi"/>
        </w:rPr>
      </w:pPr>
      <w:r>
        <w:rPr>
          <w:rFonts w:cstheme="minorHAnsi"/>
        </w:rPr>
        <w:t xml:space="preserve">In 2020 the BASAP 2019-2025 was screened for actions that needed external funding. This exercise identified 7 </w:t>
      </w:r>
      <w:r w:rsidR="00673540">
        <w:rPr>
          <w:rFonts w:cstheme="minorHAnsi"/>
        </w:rPr>
        <w:t xml:space="preserve">initial </w:t>
      </w:r>
      <w:r>
        <w:rPr>
          <w:rFonts w:cstheme="minorHAnsi"/>
        </w:rPr>
        <w:t xml:space="preserve">regional priorities and resulted in a mechanism </w:t>
      </w:r>
      <w:r w:rsidR="00CD4B02" w:rsidRPr="00CD4B02">
        <w:rPr>
          <w:rFonts w:cstheme="minorHAnsi"/>
        </w:rPr>
        <w:t>to identify and follow-up those priorities that needed further funding</w:t>
      </w:r>
      <w:r w:rsidR="00CD4B02">
        <w:rPr>
          <w:rFonts w:cstheme="minorHAnsi"/>
        </w:rPr>
        <w:t xml:space="preserve">. The mechanism </w:t>
      </w:r>
      <w:r>
        <w:rPr>
          <w:rFonts w:cstheme="minorHAnsi"/>
        </w:rPr>
        <w:t xml:space="preserve">was </w:t>
      </w:r>
      <w:r w:rsidR="00673540">
        <w:rPr>
          <w:rFonts w:cstheme="minorHAnsi"/>
        </w:rPr>
        <w:t xml:space="preserve">adopted in 2021 by establishing </w:t>
      </w:r>
      <w:r>
        <w:rPr>
          <w:rFonts w:cstheme="minorHAnsi"/>
        </w:rPr>
        <w:t>an Intersessional Correspondence Group</w:t>
      </w:r>
      <w:r w:rsidR="00CD4B02">
        <w:rPr>
          <w:rFonts w:cstheme="minorHAnsi"/>
        </w:rPr>
        <w:t xml:space="preserve"> which updates the list every year. An additional regional priority was added in 2023. T</w:t>
      </w:r>
      <w:r w:rsidR="00CD4B02" w:rsidRPr="00CD4B02">
        <w:rPr>
          <w:rFonts w:cstheme="minorHAnsi"/>
        </w:rPr>
        <w:t xml:space="preserve">he </w:t>
      </w:r>
      <w:r w:rsidR="00CD4B02">
        <w:rPr>
          <w:rFonts w:cstheme="minorHAnsi"/>
        </w:rPr>
        <w:t>regional priorities are</w:t>
      </w:r>
      <w:r w:rsidR="00CD4B02" w:rsidRPr="00CD4B02">
        <w:rPr>
          <w:rFonts w:cstheme="minorHAnsi"/>
        </w:rPr>
        <w:t xml:space="preserve"> published on the B</w:t>
      </w:r>
      <w:r w:rsidR="00CD4B02">
        <w:rPr>
          <w:rFonts w:cstheme="minorHAnsi"/>
        </w:rPr>
        <w:t xml:space="preserve">onn Agreement </w:t>
      </w:r>
      <w:r w:rsidR="00CD4B02" w:rsidRPr="00CD4B02">
        <w:rPr>
          <w:rFonts w:cstheme="minorHAnsi"/>
        </w:rPr>
        <w:t>website to raise awareness among the scientific community</w:t>
      </w:r>
      <w:r w:rsidR="00CD4B02">
        <w:rPr>
          <w:rFonts w:cstheme="minorHAnsi"/>
        </w:rPr>
        <w:t>.</w:t>
      </w:r>
    </w:p>
    <w:p w14:paraId="36136855" w14:textId="6FAB5616" w:rsidR="00CD4B02" w:rsidRDefault="00CD4B02" w:rsidP="008D4A0C">
      <w:pPr>
        <w:rPr>
          <w:rFonts w:cstheme="minorHAnsi"/>
        </w:rPr>
      </w:pPr>
      <w:r>
        <w:rPr>
          <w:rFonts w:cstheme="minorHAnsi"/>
        </w:rPr>
        <w:t xml:space="preserve">The new Bonn Agreement Strategy BAS 2025-2035 will cover a </w:t>
      </w:r>
      <w:r w:rsidR="000B356A">
        <w:rPr>
          <w:rFonts w:cstheme="minorHAnsi"/>
        </w:rPr>
        <w:t>10-year</w:t>
      </w:r>
      <w:r>
        <w:rPr>
          <w:rFonts w:cstheme="minorHAnsi"/>
        </w:rPr>
        <w:t xml:space="preserve"> period with a mid-term review. The </w:t>
      </w:r>
      <w:r w:rsidR="00146C07">
        <w:rPr>
          <w:rFonts w:cstheme="minorHAnsi"/>
        </w:rPr>
        <w:t xml:space="preserve">Implementation Plan of the BAS 2025-2035 includes tasks from the BASAP </w:t>
      </w:r>
      <w:proofErr w:type="gramStart"/>
      <w:r w:rsidR="00146C07">
        <w:rPr>
          <w:rFonts w:cstheme="minorHAnsi"/>
        </w:rPr>
        <w:t>2019-2025</w:t>
      </w:r>
      <w:proofErr w:type="gramEnd"/>
      <w:r w:rsidR="00146C07">
        <w:rPr>
          <w:rFonts w:cstheme="minorHAnsi"/>
        </w:rPr>
        <w:t xml:space="preserve"> and others mainly related to the regional priorities identified.</w:t>
      </w:r>
      <w:r w:rsidR="00A63A03">
        <w:rPr>
          <w:rFonts w:cstheme="minorHAnsi"/>
        </w:rPr>
        <w:t xml:space="preserve"> </w:t>
      </w:r>
    </w:p>
    <w:p w14:paraId="4A9C7DAE" w14:textId="1B128434" w:rsidR="00546B7C" w:rsidRDefault="00A63A03" w:rsidP="00A63A03">
      <w:pPr>
        <w:rPr>
          <w:rFonts w:cstheme="minorHAnsi"/>
        </w:rPr>
      </w:pPr>
      <w:r w:rsidRPr="00A63A03">
        <w:rPr>
          <w:rFonts w:cstheme="minorHAnsi"/>
        </w:rPr>
        <w:t>The vision under the new BAS is a clean and healthy marine and coastal environment in the Bonn Agreement Area protected from accidental and illegal marine pollution from ships and other maritime activities as well as from air emissions from ships.</w:t>
      </w:r>
      <w:r>
        <w:rPr>
          <w:rFonts w:cstheme="minorHAnsi"/>
        </w:rPr>
        <w:t xml:space="preserve"> The strategic objectives cover prevention including emission</w:t>
      </w:r>
      <w:r w:rsidR="000B356A">
        <w:rPr>
          <w:rFonts w:cstheme="minorHAnsi"/>
        </w:rPr>
        <w:t>s to air</w:t>
      </w:r>
      <w:r>
        <w:rPr>
          <w:rFonts w:cstheme="minorHAnsi"/>
        </w:rPr>
        <w:t xml:space="preserve"> from shipping, preparedness and response </w:t>
      </w:r>
      <w:proofErr w:type="gramStart"/>
      <w:r>
        <w:rPr>
          <w:rFonts w:cstheme="minorHAnsi"/>
        </w:rPr>
        <w:t>and also</w:t>
      </w:r>
      <w:proofErr w:type="gramEnd"/>
      <w:r>
        <w:rPr>
          <w:rFonts w:cstheme="minorHAnsi"/>
        </w:rPr>
        <w:t xml:space="preserve"> promoting research and development.</w:t>
      </w:r>
    </w:p>
    <w:p w14:paraId="6172F29D" w14:textId="77777777" w:rsidR="00543AD6" w:rsidRDefault="00543AD6">
      <w:pPr>
        <w:tabs>
          <w:tab w:val="clear" w:pos="357"/>
        </w:tabs>
        <w:spacing w:after="0" w:line="240" w:lineRule="auto"/>
        <w:jc w:val="left"/>
        <w:rPr>
          <w:rFonts w:cstheme="minorHAnsi"/>
        </w:rPr>
        <w:sectPr w:rsidR="00543AD6" w:rsidSect="00543AD6">
          <w:headerReference w:type="even" r:id="rId11"/>
          <w:headerReference w:type="default" r:id="rId12"/>
          <w:footerReference w:type="default" r:id="rId13"/>
          <w:pgSz w:w="11906" w:h="16838"/>
          <w:pgMar w:top="1418" w:right="1440" w:bottom="1134" w:left="1440" w:header="709" w:footer="709" w:gutter="0"/>
          <w:cols w:space="708"/>
          <w:docGrid w:linePitch="360"/>
        </w:sectPr>
      </w:pPr>
    </w:p>
    <w:p w14:paraId="3291D18E" w14:textId="77777777" w:rsidR="000326B5" w:rsidRPr="000326B5" w:rsidRDefault="000326B5" w:rsidP="000326B5">
      <w:pPr>
        <w:tabs>
          <w:tab w:val="clear" w:pos="357"/>
          <w:tab w:val="left" w:pos="720"/>
        </w:tabs>
        <w:spacing w:after="0" w:line="240" w:lineRule="auto"/>
        <w:jc w:val="center"/>
        <w:rPr>
          <w:rFonts w:ascii="Calibri Light" w:hAnsi="Calibri Light" w:cs="Calibri Light"/>
          <w:b/>
          <w:sz w:val="32"/>
          <w:szCs w:val="28"/>
        </w:rPr>
      </w:pPr>
      <w:r w:rsidRPr="000326B5">
        <w:rPr>
          <w:rFonts w:ascii="Calibri Light" w:hAnsi="Calibri Light" w:cs="Calibri Light"/>
          <w:b/>
          <w:sz w:val="32"/>
          <w:szCs w:val="28"/>
        </w:rPr>
        <w:lastRenderedPageBreak/>
        <w:t xml:space="preserve">Bonn Agreement Strategy Action Plan (BASAP) </w:t>
      </w:r>
    </w:p>
    <w:p w14:paraId="1F20F926" w14:textId="77777777" w:rsidR="000326B5" w:rsidRPr="000326B5" w:rsidRDefault="000326B5" w:rsidP="000326B5">
      <w:pPr>
        <w:tabs>
          <w:tab w:val="clear" w:pos="357"/>
          <w:tab w:val="left" w:pos="720"/>
        </w:tabs>
        <w:spacing w:after="0" w:line="240" w:lineRule="auto"/>
        <w:jc w:val="center"/>
        <w:rPr>
          <w:rFonts w:ascii="Calibri Light" w:hAnsi="Calibri Light" w:cs="Calibri Light"/>
          <w:b/>
          <w:sz w:val="32"/>
          <w:szCs w:val="28"/>
        </w:rPr>
      </w:pPr>
      <w:r w:rsidRPr="000326B5">
        <w:rPr>
          <w:rFonts w:ascii="Calibri Light" w:hAnsi="Calibri Light" w:cs="Calibri Light"/>
          <w:b/>
          <w:sz w:val="32"/>
          <w:szCs w:val="28"/>
        </w:rPr>
        <w:t>2019 – 2025</w:t>
      </w:r>
    </w:p>
    <w:p w14:paraId="4F02E1FF" w14:textId="77777777" w:rsidR="000326B5" w:rsidRPr="000326B5" w:rsidRDefault="000326B5" w:rsidP="000326B5">
      <w:pPr>
        <w:tabs>
          <w:tab w:val="clear" w:pos="357"/>
          <w:tab w:val="left" w:pos="720"/>
        </w:tabs>
        <w:spacing w:before="280" w:after="140" w:line="240" w:lineRule="auto"/>
        <w:jc w:val="left"/>
        <w:rPr>
          <w:rFonts w:ascii="Calibri Light" w:hAnsi="Calibri Light" w:cs="Calibri Light"/>
          <w:b/>
          <w:sz w:val="20"/>
        </w:rPr>
      </w:pPr>
      <w:r w:rsidRPr="000326B5">
        <w:rPr>
          <w:rFonts w:ascii="Calibri Light" w:hAnsi="Calibri Light" w:cs="Calibri Light"/>
          <w:b/>
          <w:sz w:val="20"/>
        </w:rPr>
        <w:t>Introduction</w:t>
      </w:r>
    </w:p>
    <w:p w14:paraId="3CA4E082" w14:textId="77777777" w:rsidR="000326B5" w:rsidRPr="000326B5" w:rsidRDefault="000326B5" w:rsidP="000326B5">
      <w:pPr>
        <w:tabs>
          <w:tab w:val="clear" w:pos="357"/>
          <w:tab w:val="left" w:pos="567"/>
        </w:tabs>
        <w:spacing w:after="140" w:line="280" w:lineRule="atLeast"/>
        <w:rPr>
          <w:rFonts w:ascii="Calibri Light" w:hAnsi="Calibri Light" w:cs="Calibri Light"/>
          <w:b/>
          <w:sz w:val="20"/>
        </w:rPr>
      </w:pPr>
      <w:r w:rsidRPr="000326B5">
        <w:rPr>
          <w:rFonts w:ascii="Calibri Light" w:hAnsi="Calibri Light" w:cs="Calibri Light"/>
          <w:b/>
          <w:sz w:val="20"/>
        </w:rPr>
        <w:t xml:space="preserve">The core work of the Bonn Agreement is to cooperate regionally in preventing and combating marine pollution in the Greater North Sea from ships and offshore installations; to carry out surveillance as an aid to detecting and combating pollution at sea; cleaning up after maritime disasters and pollution offences. These are the achievements that come from 50 years’ scientific, technical and operational work of the Bonn Agreement. The Contracting Parties to the Bonn Agreement have cooperated to create great expertise in handling threats to the marine </w:t>
      </w:r>
      <w:proofErr w:type="gramStart"/>
      <w:r w:rsidRPr="000326B5">
        <w:rPr>
          <w:rFonts w:ascii="Calibri Light" w:hAnsi="Calibri Light" w:cs="Calibri Light"/>
          <w:b/>
          <w:sz w:val="20"/>
        </w:rPr>
        <w:t>environment, and</w:t>
      </w:r>
      <w:proofErr w:type="gramEnd"/>
      <w:r w:rsidRPr="000326B5">
        <w:rPr>
          <w:rFonts w:ascii="Calibri Light" w:hAnsi="Calibri Light" w:cs="Calibri Light"/>
          <w:b/>
          <w:sz w:val="20"/>
        </w:rPr>
        <w:t xml:space="preserve"> are ready to meet new challenges with the cooperation of Contracting Parties and engage with the international community.</w:t>
      </w:r>
    </w:p>
    <w:p w14:paraId="1C45B225" w14:textId="77777777" w:rsidR="000326B5" w:rsidRPr="000326B5" w:rsidRDefault="000326B5" w:rsidP="000326B5">
      <w:pPr>
        <w:tabs>
          <w:tab w:val="clear" w:pos="357"/>
          <w:tab w:val="left" w:pos="567"/>
        </w:tabs>
        <w:spacing w:after="140" w:line="280" w:lineRule="atLeast"/>
        <w:rPr>
          <w:rFonts w:ascii="Calibri Light" w:hAnsi="Calibri Light" w:cs="Calibri Light"/>
          <w:sz w:val="20"/>
        </w:rPr>
      </w:pPr>
      <w:r w:rsidRPr="000326B5">
        <w:rPr>
          <w:rFonts w:ascii="Calibri Light" w:hAnsi="Calibri Light" w:cs="Calibri Light"/>
          <w:sz w:val="20"/>
        </w:rPr>
        <w:t>The Bonn Agreement is the oldest regional agreement established by governments for responding to pollution incidents.  The Agreement is the mechanism by which the North Sea States, and the European Union, work together to assist each other in combating pollution from maritime disasters and chronic pollution from ships and offshore installations in the North Sea Area. It was signed in 1969 by the eight states bordering the North Sea: Belgium, Denmark, Germany, France, the Netherlands, Norway, Sweden and the United Kingdom, shortly after the oil tanker "Torrey Canyon" broke up off Cornwall in 1967 spilling 117 000 tonnes of oil in the first major pollution disaster affecting Western Europe. However, the Bonn Agreement was not activated until the late 1970s after two other major pollution incidents had occurred: the "Ekofisk" blow-out in 1977 and the "Amoco Cadiz" in 1978. The Agreement has continued to function effectively ever since and was extended in 1983 to include other harmful substances and in</w:t>
      </w:r>
      <w:r w:rsidRPr="000326B5">
        <w:rPr>
          <w:rFonts w:ascii="Calibri Light" w:hAnsi="Calibri Light" w:cs="Calibri Light"/>
          <w:color w:val="000000"/>
          <w:sz w:val="18"/>
          <w:szCs w:val="18"/>
          <w:lang w:val="en-US" w:eastAsia="en-US"/>
        </w:rPr>
        <w:t xml:space="preserve"> </w:t>
      </w:r>
      <w:r w:rsidRPr="000326B5">
        <w:rPr>
          <w:rFonts w:ascii="Calibri Light" w:hAnsi="Calibri Light" w:cs="Calibri Light"/>
          <w:sz w:val="20"/>
        </w:rPr>
        <w:t xml:space="preserve">1987 to cover cooperation in surveillance. Further expansion took place in 2010 when Ireland </w:t>
      </w:r>
      <w:proofErr w:type="gramStart"/>
      <w:r w:rsidRPr="000326B5">
        <w:rPr>
          <w:rFonts w:ascii="Calibri Light" w:hAnsi="Calibri Light" w:cs="Calibri Light"/>
          <w:sz w:val="20"/>
        </w:rPr>
        <w:t>joined</w:t>
      </w:r>
      <w:proofErr w:type="gramEnd"/>
      <w:r w:rsidRPr="000326B5">
        <w:rPr>
          <w:rFonts w:ascii="Calibri Light" w:hAnsi="Calibri Light" w:cs="Calibri Light"/>
          <w:sz w:val="20"/>
        </w:rPr>
        <w:t xml:space="preserve"> and the Agreement was widened to cover Irish waters and related Norwegian and UK waters.</w:t>
      </w:r>
    </w:p>
    <w:p w14:paraId="38D003E4" w14:textId="77777777" w:rsidR="000326B5" w:rsidRPr="000326B5" w:rsidRDefault="000326B5" w:rsidP="000326B5">
      <w:pPr>
        <w:widowControl w:val="0"/>
        <w:tabs>
          <w:tab w:val="clear" w:pos="357"/>
          <w:tab w:val="left" w:pos="567"/>
        </w:tabs>
        <w:autoSpaceDE w:val="0"/>
        <w:autoSpaceDN w:val="0"/>
        <w:adjustRightInd w:val="0"/>
        <w:spacing w:after="140" w:line="280" w:lineRule="atLeast"/>
        <w:rPr>
          <w:rFonts w:ascii="Calibri Light" w:hAnsi="Calibri Light" w:cs="Calibri Light"/>
          <w:sz w:val="20"/>
        </w:rPr>
      </w:pPr>
      <w:r w:rsidRPr="000326B5">
        <w:rPr>
          <w:rFonts w:ascii="Calibri Light" w:hAnsi="Calibri Light" w:cs="Calibri Light"/>
          <w:sz w:val="20"/>
        </w:rPr>
        <w:t>Despite the overall decrease in the number of accidental oil spills in European waters, major accidental oil spills (i.e. those greater than 20 000 tonnes) still occur at irregular intervals. Although land-based discharges constitute the largest source of oil that enters the ocean each year, accidental oil spills are still a major source of pollution accounting for about 10–15 per cent of all oil that enters the ocean world-wide every year.</w:t>
      </w:r>
    </w:p>
    <w:p w14:paraId="1F32227D" w14:textId="77777777" w:rsidR="000326B5" w:rsidRPr="000326B5" w:rsidRDefault="000326B5" w:rsidP="000326B5">
      <w:pPr>
        <w:tabs>
          <w:tab w:val="clear" w:pos="357"/>
          <w:tab w:val="left" w:pos="567"/>
        </w:tabs>
        <w:spacing w:after="140" w:line="280" w:lineRule="atLeast"/>
        <w:rPr>
          <w:rFonts w:ascii="Calibri Light" w:hAnsi="Calibri Light" w:cs="Calibri Light"/>
          <w:sz w:val="20"/>
        </w:rPr>
      </w:pPr>
      <w:r w:rsidRPr="000326B5">
        <w:rPr>
          <w:rFonts w:ascii="Calibri Light" w:hAnsi="Calibri Light" w:cs="Calibri Light"/>
          <w:sz w:val="20"/>
        </w:rPr>
        <w:t xml:space="preserve">The BASAP 2019-2025 is intended to facilitate the implementation of the Bonn Agreement in order to contribute to the prevention of marine pollution at large and meet future challenges, like the inevitable paradigm shift in energy and natural resources markets, the environmental challenges that were identified by the Paris Agreement 2015 and the pressure on marine spatial planning that can introduce other risks at sea. Given these developments and the spectacular decrease of accidental oil spills in European waters over the last 30 years, oil spill responders </w:t>
      </w:r>
      <w:proofErr w:type="gramStart"/>
      <w:r w:rsidRPr="000326B5">
        <w:rPr>
          <w:rFonts w:ascii="Calibri Light" w:hAnsi="Calibri Light" w:cs="Calibri Light"/>
          <w:sz w:val="20"/>
        </w:rPr>
        <w:t>have to</w:t>
      </w:r>
      <w:proofErr w:type="gramEnd"/>
      <w:r w:rsidRPr="000326B5">
        <w:rPr>
          <w:rFonts w:ascii="Calibri Light" w:hAnsi="Calibri Light" w:cs="Calibri Light"/>
          <w:sz w:val="20"/>
        </w:rPr>
        <w:t xml:space="preserve"> broaden their focus from oil to all kinds of marine pollution that can be measured and/or cleaned.  A key new challenge for the Bonn Agreement, identified through the SWOT analysis, will be on air pollution that is affecting the ecosystems and the health of citizens in coastal areas, with high population density (MARPOL Annex VI). </w:t>
      </w:r>
    </w:p>
    <w:p w14:paraId="6161D506" w14:textId="77777777" w:rsidR="000326B5" w:rsidRPr="000326B5" w:rsidRDefault="000326B5" w:rsidP="000326B5">
      <w:pPr>
        <w:tabs>
          <w:tab w:val="clear" w:pos="357"/>
          <w:tab w:val="left" w:pos="720"/>
        </w:tabs>
        <w:spacing w:after="140" w:line="280" w:lineRule="atLeast"/>
        <w:jc w:val="left"/>
        <w:rPr>
          <w:rFonts w:ascii="Calibri Light" w:hAnsi="Calibri Light" w:cs="Calibri Light"/>
          <w:sz w:val="20"/>
        </w:rPr>
      </w:pPr>
      <w:r w:rsidRPr="000326B5">
        <w:rPr>
          <w:rFonts w:ascii="Calibri Light" w:hAnsi="Calibri Light" w:cs="Calibri Light"/>
          <w:sz w:val="20"/>
        </w:rPr>
        <w:t>The BASAP 2019-2025 is implemented by its Contracting Parties by:</w:t>
      </w:r>
    </w:p>
    <w:p w14:paraId="01362931" w14:textId="77777777" w:rsidR="000326B5" w:rsidRPr="000326B5" w:rsidRDefault="000326B5" w:rsidP="000326B5">
      <w:pPr>
        <w:numPr>
          <w:ilvl w:val="0"/>
          <w:numId w:val="7"/>
        </w:numPr>
        <w:tabs>
          <w:tab w:val="clear" w:pos="357"/>
          <w:tab w:val="left" w:pos="567"/>
          <w:tab w:val="left" w:pos="1134"/>
        </w:tabs>
        <w:spacing w:after="0" w:line="280" w:lineRule="atLeast"/>
        <w:ind w:left="1134" w:hanging="567"/>
        <w:rPr>
          <w:rFonts w:ascii="Calibri Light" w:hAnsi="Calibri Light" w:cs="Calibri Light"/>
          <w:sz w:val="20"/>
        </w:rPr>
      </w:pPr>
      <w:r w:rsidRPr="000326B5">
        <w:rPr>
          <w:rFonts w:ascii="Calibri Light" w:hAnsi="Calibri Light" w:cs="Calibri Light"/>
          <w:sz w:val="20"/>
        </w:rPr>
        <w:t xml:space="preserve">keeping their zones of responsibility under surveillance for threats of marine pollution, pollution of the related air space over the sea, including coordinating aerial and satellite </w:t>
      </w:r>
      <w:proofErr w:type="gramStart"/>
      <w:r w:rsidRPr="000326B5">
        <w:rPr>
          <w:rFonts w:ascii="Calibri Light" w:hAnsi="Calibri Light" w:cs="Calibri Light"/>
          <w:sz w:val="20"/>
        </w:rPr>
        <w:t>surveillance;</w:t>
      </w:r>
      <w:proofErr w:type="gramEnd"/>
    </w:p>
    <w:p w14:paraId="15D6E065" w14:textId="77777777" w:rsidR="000326B5" w:rsidRPr="000326B5" w:rsidRDefault="000326B5" w:rsidP="000326B5">
      <w:pPr>
        <w:numPr>
          <w:ilvl w:val="0"/>
          <w:numId w:val="7"/>
        </w:numPr>
        <w:tabs>
          <w:tab w:val="clear" w:pos="357"/>
          <w:tab w:val="left" w:pos="567"/>
          <w:tab w:val="left" w:pos="1080"/>
          <w:tab w:val="left" w:pos="2268"/>
        </w:tabs>
        <w:spacing w:before="60" w:after="0" w:line="280" w:lineRule="atLeast"/>
        <w:ind w:left="1134" w:hanging="567"/>
        <w:rPr>
          <w:rFonts w:ascii="Calibri Light" w:hAnsi="Calibri Light" w:cs="Calibri Light"/>
          <w:sz w:val="20"/>
        </w:rPr>
      </w:pPr>
      <w:r w:rsidRPr="000326B5">
        <w:rPr>
          <w:rFonts w:ascii="Calibri Light" w:hAnsi="Calibri Light" w:cs="Calibri Light"/>
          <w:sz w:val="20"/>
        </w:rPr>
        <w:t xml:space="preserve">alerting each other to such </w:t>
      </w:r>
      <w:proofErr w:type="gramStart"/>
      <w:r w:rsidRPr="000326B5">
        <w:rPr>
          <w:rFonts w:ascii="Calibri Light" w:hAnsi="Calibri Light" w:cs="Calibri Light"/>
          <w:sz w:val="20"/>
        </w:rPr>
        <w:t>threats;</w:t>
      </w:r>
      <w:proofErr w:type="gramEnd"/>
    </w:p>
    <w:p w14:paraId="6F6B40E1" w14:textId="77777777" w:rsidR="000326B5" w:rsidRPr="000326B5" w:rsidRDefault="000326B5" w:rsidP="000326B5">
      <w:pPr>
        <w:numPr>
          <w:ilvl w:val="0"/>
          <w:numId w:val="7"/>
        </w:numPr>
        <w:tabs>
          <w:tab w:val="clear" w:pos="357"/>
          <w:tab w:val="left" w:pos="567"/>
          <w:tab w:val="left" w:pos="1080"/>
          <w:tab w:val="left" w:pos="2268"/>
        </w:tabs>
        <w:spacing w:before="60" w:after="0" w:line="280" w:lineRule="atLeast"/>
        <w:ind w:left="1134" w:hanging="567"/>
        <w:rPr>
          <w:rFonts w:ascii="Calibri Light" w:hAnsi="Calibri Light" w:cs="Calibri Light"/>
          <w:sz w:val="20"/>
        </w:rPr>
      </w:pPr>
      <w:r w:rsidRPr="000326B5">
        <w:rPr>
          <w:rFonts w:ascii="Calibri Light" w:hAnsi="Calibri Light" w:cs="Calibri Light"/>
          <w:sz w:val="20"/>
        </w:rPr>
        <w:t xml:space="preserve">adopting common operational approaches, so that they can rely on each other to achieve the necessary standards of prevention and </w:t>
      </w:r>
      <w:proofErr w:type="gramStart"/>
      <w:r w:rsidRPr="000326B5">
        <w:rPr>
          <w:rFonts w:ascii="Calibri Light" w:hAnsi="Calibri Light" w:cs="Calibri Light"/>
          <w:sz w:val="20"/>
        </w:rPr>
        <w:t>clean-up;</w:t>
      </w:r>
      <w:proofErr w:type="gramEnd"/>
    </w:p>
    <w:p w14:paraId="00A4FA4E" w14:textId="77777777" w:rsidR="000326B5" w:rsidRPr="000326B5" w:rsidRDefault="000326B5" w:rsidP="000326B5">
      <w:pPr>
        <w:numPr>
          <w:ilvl w:val="0"/>
          <w:numId w:val="7"/>
        </w:numPr>
        <w:tabs>
          <w:tab w:val="clear" w:pos="357"/>
          <w:tab w:val="left" w:pos="567"/>
          <w:tab w:val="left" w:pos="1080"/>
          <w:tab w:val="left" w:pos="2268"/>
        </w:tabs>
        <w:spacing w:before="60" w:after="0" w:line="280" w:lineRule="atLeast"/>
        <w:ind w:left="1134" w:hanging="567"/>
        <w:rPr>
          <w:rFonts w:ascii="Calibri Light" w:hAnsi="Calibri Light" w:cs="Calibri Light"/>
          <w:sz w:val="20"/>
        </w:rPr>
      </w:pPr>
      <w:r w:rsidRPr="000326B5">
        <w:rPr>
          <w:rFonts w:ascii="Calibri Light" w:hAnsi="Calibri Light" w:cs="Calibri Light"/>
          <w:sz w:val="20"/>
        </w:rPr>
        <w:t xml:space="preserve">adopting common and coordinated operational approaches for the compliance monitoring and enforcement of MARPOL Annex </w:t>
      </w:r>
      <w:proofErr w:type="gramStart"/>
      <w:r w:rsidRPr="000326B5">
        <w:rPr>
          <w:rFonts w:ascii="Calibri Light" w:hAnsi="Calibri Light" w:cs="Calibri Light"/>
          <w:sz w:val="20"/>
        </w:rPr>
        <w:t>VI;</w:t>
      </w:r>
      <w:proofErr w:type="gramEnd"/>
    </w:p>
    <w:p w14:paraId="54233643" w14:textId="77777777" w:rsidR="000326B5" w:rsidRPr="000326B5" w:rsidRDefault="000326B5" w:rsidP="000326B5">
      <w:pPr>
        <w:numPr>
          <w:ilvl w:val="0"/>
          <w:numId w:val="7"/>
        </w:numPr>
        <w:tabs>
          <w:tab w:val="clear" w:pos="357"/>
          <w:tab w:val="left" w:pos="567"/>
          <w:tab w:val="left" w:pos="1080"/>
          <w:tab w:val="left" w:pos="2268"/>
        </w:tabs>
        <w:spacing w:before="60" w:after="0" w:line="280" w:lineRule="atLeast"/>
        <w:ind w:left="1134" w:hanging="567"/>
        <w:rPr>
          <w:rFonts w:ascii="Calibri Light" w:hAnsi="Calibri Light" w:cs="Calibri Light"/>
          <w:sz w:val="20"/>
        </w:rPr>
      </w:pPr>
      <w:r w:rsidRPr="000326B5">
        <w:rPr>
          <w:rFonts w:ascii="Calibri Light" w:hAnsi="Calibri Light" w:cs="Calibri Light"/>
          <w:sz w:val="20"/>
        </w:rPr>
        <w:t xml:space="preserve">supporting each other (when asked to do so) in response </w:t>
      </w:r>
      <w:proofErr w:type="gramStart"/>
      <w:r w:rsidRPr="000326B5">
        <w:rPr>
          <w:rFonts w:ascii="Calibri Light" w:hAnsi="Calibri Light" w:cs="Calibri Light"/>
          <w:sz w:val="20"/>
        </w:rPr>
        <w:t>operations;</w:t>
      </w:r>
      <w:proofErr w:type="gramEnd"/>
    </w:p>
    <w:p w14:paraId="65E57D75" w14:textId="77777777" w:rsidR="000326B5" w:rsidRPr="000326B5" w:rsidRDefault="000326B5" w:rsidP="000326B5">
      <w:pPr>
        <w:numPr>
          <w:ilvl w:val="0"/>
          <w:numId w:val="7"/>
        </w:numPr>
        <w:tabs>
          <w:tab w:val="clear" w:pos="357"/>
          <w:tab w:val="left" w:pos="567"/>
          <w:tab w:val="left" w:pos="1080"/>
          <w:tab w:val="left" w:pos="2268"/>
        </w:tabs>
        <w:spacing w:before="60" w:after="0" w:line="280" w:lineRule="atLeast"/>
        <w:ind w:left="1134" w:hanging="567"/>
        <w:rPr>
          <w:rFonts w:ascii="Calibri Light" w:hAnsi="Calibri Light" w:cs="Calibri Light"/>
          <w:sz w:val="20"/>
        </w:rPr>
      </w:pPr>
      <w:r w:rsidRPr="000326B5">
        <w:rPr>
          <w:rFonts w:ascii="Calibri Light" w:hAnsi="Calibri Light" w:cs="Calibri Light"/>
          <w:sz w:val="20"/>
        </w:rPr>
        <w:t>sharing research and development as well as good practices; and</w:t>
      </w:r>
    </w:p>
    <w:p w14:paraId="300AE3FF" w14:textId="77777777" w:rsidR="000326B5" w:rsidRPr="000326B5" w:rsidRDefault="000326B5" w:rsidP="000326B5">
      <w:pPr>
        <w:numPr>
          <w:ilvl w:val="0"/>
          <w:numId w:val="7"/>
        </w:numPr>
        <w:tabs>
          <w:tab w:val="clear" w:pos="357"/>
          <w:tab w:val="left" w:pos="567"/>
          <w:tab w:val="left" w:pos="1080"/>
          <w:tab w:val="left" w:pos="2268"/>
        </w:tabs>
        <w:spacing w:before="60" w:after="0" w:line="280" w:lineRule="atLeast"/>
        <w:ind w:left="1134" w:hanging="567"/>
        <w:rPr>
          <w:rFonts w:ascii="Calibri Light" w:hAnsi="Calibri Light" w:cs="Calibri Light"/>
          <w:sz w:val="20"/>
        </w:rPr>
      </w:pPr>
      <w:r w:rsidRPr="000326B5">
        <w:rPr>
          <w:rFonts w:ascii="Calibri Light" w:hAnsi="Calibri Light" w:cs="Calibri Light"/>
          <w:sz w:val="20"/>
        </w:rPr>
        <w:t>carrying out joint exercises.</w:t>
      </w:r>
    </w:p>
    <w:p w14:paraId="2CD97618" w14:textId="77777777" w:rsidR="000326B5" w:rsidRPr="000326B5" w:rsidRDefault="000326B5" w:rsidP="000326B5">
      <w:pPr>
        <w:tabs>
          <w:tab w:val="clear" w:pos="357"/>
          <w:tab w:val="left" w:pos="720"/>
        </w:tabs>
        <w:spacing w:before="280" w:line="280" w:lineRule="atLeast"/>
        <w:jc w:val="left"/>
        <w:rPr>
          <w:rFonts w:ascii="Calibri Light" w:hAnsi="Calibri Light" w:cs="Calibri Light"/>
          <w:b/>
          <w:sz w:val="20"/>
          <w:u w:val="single"/>
        </w:rPr>
      </w:pPr>
      <w:r w:rsidRPr="000326B5">
        <w:rPr>
          <w:rFonts w:ascii="Calibri Light" w:hAnsi="Calibri Light" w:cs="Calibri Light"/>
          <w:b/>
          <w:sz w:val="20"/>
          <w:u w:val="single"/>
        </w:rPr>
        <w:lastRenderedPageBreak/>
        <w:t>Vision</w:t>
      </w:r>
    </w:p>
    <w:p w14:paraId="2D9442FF" w14:textId="77777777" w:rsidR="000326B5" w:rsidRPr="000326B5" w:rsidRDefault="000326B5" w:rsidP="000326B5">
      <w:pPr>
        <w:tabs>
          <w:tab w:val="clear" w:pos="357"/>
          <w:tab w:val="left" w:pos="720"/>
        </w:tabs>
        <w:spacing w:line="280" w:lineRule="atLeast"/>
        <w:jc w:val="left"/>
        <w:rPr>
          <w:rFonts w:ascii="Calibri Light" w:hAnsi="Calibri Light" w:cs="Calibri Light"/>
          <w:sz w:val="20"/>
        </w:rPr>
      </w:pPr>
      <w:r w:rsidRPr="000326B5">
        <w:rPr>
          <w:rFonts w:ascii="Calibri Light" w:hAnsi="Calibri Light" w:cs="Calibri Light"/>
          <w:sz w:val="20"/>
        </w:rPr>
        <w:t>The vision of the Bonn Agreement is of:</w:t>
      </w:r>
    </w:p>
    <w:p w14:paraId="2BDB0708" w14:textId="77777777" w:rsidR="000326B5" w:rsidRPr="000326B5" w:rsidRDefault="000326B5" w:rsidP="000326B5">
      <w:pPr>
        <w:tabs>
          <w:tab w:val="clear" w:pos="357"/>
          <w:tab w:val="left" w:pos="720"/>
        </w:tabs>
        <w:spacing w:line="280" w:lineRule="atLeast"/>
        <w:jc w:val="left"/>
        <w:rPr>
          <w:rFonts w:ascii="Calibri Light" w:hAnsi="Calibri Light" w:cs="Calibri Light"/>
          <w:i/>
          <w:sz w:val="20"/>
        </w:rPr>
      </w:pPr>
      <w:r w:rsidRPr="000326B5">
        <w:rPr>
          <w:rFonts w:ascii="Calibri Light" w:hAnsi="Calibri Light" w:cs="Calibri Light"/>
          <w:b/>
          <w:i/>
          <w:sz w:val="20"/>
        </w:rPr>
        <w:t>A clean Greater North Sea without accidental and illegal pollution from shipping and other maritime activities</w:t>
      </w:r>
    </w:p>
    <w:p w14:paraId="0CA981F2" w14:textId="77777777" w:rsidR="000326B5" w:rsidRPr="000326B5" w:rsidRDefault="000326B5" w:rsidP="000326B5">
      <w:pPr>
        <w:tabs>
          <w:tab w:val="clear" w:pos="357"/>
          <w:tab w:val="left" w:pos="720"/>
        </w:tabs>
        <w:spacing w:line="280" w:lineRule="atLeast"/>
        <w:rPr>
          <w:rFonts w:ascii="Calibri Light" w:hAnsi="Calibri Light" w:cs="Calibri Light"/>
          <w:sz w:val="20"/>
        </w:rPr>
      </w:pPr>
      <w:r w:rsidRPr="000326B5">
        <w:rPr>
          <w:rFonts w:ascii="Calibri Light" w:hAnsi="Calibri Light" w:cs="Calibri Light"/>
          <w:sz w:val="20"/>
        </w:rPr>
        <w:t>The Greater North Sea supports diverse and productive ecosystems and is essential for the daily lives of millions of people. Part of the Greater North Sea contains some of the busiest shipping lanes in the world. The vision of the Bonn Agreement is therefore to minimise as far as practically possible the threat of pollution from accidental and illegal pollution from ships and other maritime activities.</w:t>
      </w:r>
    </w:p>
    <w:p w14:paraId="5DEAD1B1" w14:textId="77777777" w:rsidR="000326B5" w:rsidRPr="000326B5" w:rsidRDefault="000326B5" w:rsidP="000326B5">
      <w:pPr>
        <w:tabs>
          <w:tab w:val="clear" w:pos="357"/>
          <w:tab w:val="left" w:pos="720"/>
        </w:tabs>
        <w:spacing w:after="240" w:line="280" w:lineRule="atLeast"/>
        <w:jc w:val="left"/>
        <w:rPr>
          <w:rFonts w:ascii="Calibri Light" w:hAnsi="Calibri Light" w:cs="Calibri Light"/>
          <w:sz w:val="20"/>
        </w:rPr>
      </w:pPr>
      <w:r w:rsidRPr="000326B5">
        <w:rPr>
          <w:rFonts w:ascii="Calibri Light" w:hAnsi="Calibri Light" w:cs="Calibri Light"/>
          <w:sz w:val="20"/>
        </w:rPr>
        <w:t>To achieve its vision the Bonn Agreement has agreed the following Strategic Aims:</w:t>
      </w:r>
    </w:p>
    <w:p w14:paraId="147B56A9" w14:textId="7E53BC15" w:rsidR="000326B5" w:rsidRPr="008A085B" w:rsidRDefault="000326B5" w:rsidP="008A085B">
      <w:pPr>
        <w:numPr>
          <w:ilvl w:val="0"/>
          <w:numId w:val="8"/>
        </w:numPr>
        <w:tabs>
          <w:tab w:val="clear" w:pos="357"/>
          <w:tab w:val="left" w:pos="709"/>
        </w:tabs>
        <w:spacing w:after="0" w:line="240" w:lineRule="auto"/>
        <w:contextualSpacing/>
        <w:jc w:val="left"/>
        <w:rPr>
          <w:rFonts w:ascii="Calibri Light" w:eastAsia="Calibri" w:hAnsi="Calibri Light" w:cs="Calibri Light"/>
          <w:sz w:val="20"/>
          <w:lang w:val="en-US" w:eastAsia="en-US"/>
        </w:rPr>
      </w:pPr>
      <w:r w:rsidRPr="008A085B">
        <w:rPr>
          <w:rFonts w:ascii="Calibri Light" w:eastAsia="Calibri" w:hAnsi="Calibri Light" w:cs="Calibri Light"/>
          <w:sz w:val="20"/>
          <w:lang w:val="en-US" w:eastAsia="en-US"/>
        </w:rPr>
        <w:t xml:space="preserve">Identify and address emerging issues in the maritime sector at large </w:t>
      </w:r>
      <w:r w:rsidR="005A07E5" w:rsidRPr="008A085B">
        <w:rPr>
          <w:rFonts w:ascii="Calibri Light" w:eastAsia="Calibri" w:hAnsi="Calibri Light" w:cs="Calibri Light"/>
          <w:sz w:val="20"/>
          <w:lang w:val="en-US" w:eastAsia="en-US"/>
        </w:rPr>
        <w:t>affecting</w:t>
      </w:r>
      <w:r w:rsidRPr="008A085B">
        <w:rPr>
          <w:rFonts w:ascii="Calibri Light" w:eastAsia="Calibri" w:hAnsi="Calibri Light" w:cs="Calibri Light"/>
          <w:sz w:val="20"/>
          <w:lang w:val="en-US" w:eastAsia="en-US"/>
        </w:rPr>
        <w:t xml:space="preserve"> the marine environment within the scope of the Bonn </w:t>
      </w:r>
      <w:proofErr w:type="gramStart"/>
      <w:r w:rsidRPr="008A085B">
        <w:rPr>
          <w:rFonts w:ascii="Calibri Light" w:eastAsia="Calibri" w:hAnsi="Calibri Light" w:cs="Calibri Light"/>
          <w:sz w:val="20"/>
          <w:lang w:val="en-US" w:eastAsia="en-US"/>
        </w:rPr>
        <w:t>Agreement;</w:t>
      </w:r>
      <w:proofErr w:type="gramEnd"/>
    </w:p>
    <w:p w14:paraId="5AB83F53" w14:textId="77777777" w:rsidR="000326B5" w:rsidRPr="008A085B" w:rsidRDefault="000326B5" w:rsidP="008A085B">
      <w:pPr>
        <w:numPr>
          <w:ilvl w:val="0"/>
          <w:numId w:val="8"/>
        </w:numPr>
        <w:tabs>
          <w:tab w:val="clear" w:pos="357"/>
          <w:tab w:val="left" w:pos="709"/>
        </w:tabs>
        <w:spacing w:after="0" w:line="240" w:lineRule="auto"/>
        <w:contextualSpacing/>
        <w:jc w:val="left"/>
        <w:rPr>
          <w:rFonts w:ascii="Calibri Light" w:eastAsia="Calibri" w:hAnsi="Calibri Light" w:cs="Calibri Light"/>
          <w:sz w:val="20"/>
          <w:lang w:val="en-US" w:eastAsia="en-US"/>
        </w:rPr>
      </w:pPr>
      <w:r w:rsidRPr="008A085B">
        <w:rPr>
          <w:rFonts w:ascii="Calibri Light" w:eastAsia="Calibri" w:hAnsi="Calibri Light" w:cs="Calibri Light"/>
          <w:sz w:val="20"/>
          <w:lang w:val="en-US" w:eastAsia="en-US"/>
        </w:rPr>
        <w:t>Identify and evaluate emerging opportunities to reduce risks to the marine environment based on best available techniques (BAT) and best environmental practices (BEP)</w:t>
      </w:r>
    </w:p>
    <w:p w14:paraId="69623A40" w14:textId="77777777" w:rsidR="000326B5" w:rsidRPr="008A085B" w:rsidRDefault="000326B5" w:rsidP="008A085B">
      <w:pPr>
        <w:numPr>
          <w:ilvl w:val="0"/>
          <w:numId w:val="8"/>
        </w:numPr>
        <w:tabs>
          <w:tab w:val="clear" w:pos="357"/>
          <w:tab w:val="left" w:pos="709"/>
        </w:tabs>
        <w:spacing w:after="0" w:line="240" w:lineRule="auto"/>
        <w:contextualSpacing/>
        <w:jc w:val="left"/>
        <w:rPr>
          <w:rFonts w:ascii="Calibri Light" w:eastAsia="Calibri" w:hAnsi="Calibri Light" w:cs="Calibri Light"/>
          <w:sz w:val="20"/>
          <w:lang w:val="en-US" w:eastAsia="en-US"/>
        </w:rPr>
      </w:pPr>
      <w:r w:rsidRPr="008A085B">
        <w:rPr>
          <w:rFonts w:ascii="Calibri Light" w:eastAsia="Calibri" w:hAnsi="Calibri Light" w:cs="Calibri Light"/>
          <w:sz w:val="20"/>
          <w:lang w:val="en-US" w:eastAsia="en-US"/>
        </w:rPr>
        <w:t xml:space="preserve">Identify and evaluate new approaches to monitoring to ensure best available techniques and best environmental practices are </w:t>
      </w:r>
      <w:proofErr w:type="gramStart"/>
      <w:r w:rsidRPr="008A085B">
        <w:rPr>
          <w:rFonts w:ascii="Calibri Light" w:eastAsia="Calibri" w:hAnsi="Calibri Light" w:cs="Calibri Light"/>
          <w:sz w:val="20"/>
          <w:lang w:val="en-US" w:eastAsia="en-US"/>
        </w:rPr>
        <w:t>followed;</w:t>
      </w:r>
      <w:proofErr w:type="gramEnd"/>
    </w:p>
    <w:p w14:paraId="7861A70D" w14:textId="77777777" w:rsidR="000326B5" w:rsidRPr="008A085B" w:rsidRDefault="000326B5" w:rsidP="008A085B">
      <w:pPr>
        <w:numPr>
          <w:ilvl w:val="0"/>
          <w:numId w:val="8"/>
        </w:numPr>
        <w:tabs>
          <w:tab w:val="clear" w:pos="357"/>
          <w:tab w:val="left" w:pos="709"/>
        </w:tabs>
        <w:spacing w:after="0" w:line="240" w:lineRule="auto"/>
        <w:contextualSpacing/>
        <w:jc w:val="left"/>
        <w:rPr>
          <w:rFonts w:ascii="Calibri Light" w:eastAsia="Calibri" w:hAnsi="Calibri Light" w:cs="Calibri Light"/>
          <w:sz w:val="20"/>
          <w:lang w:val="en-US" w:eastAsia="en-US"/>
        </w:rPr>
      </w:pPr>
      <w:r w:rsidRPr="008A085B">
        <w:rPr>
          <w:rFonts w:ascii="Calibri Light" w:eastAsia="Calibri" w:hAnsi="Calibri Light" w:cs="Calibri Light"/>
          <w:sz w:val="20"/>
          <w:lang w:val="en-US" w:eastAsia="en-US"/>
        </w:rPr>
        <w:t xml:space="preserve">Respond as appropriate to newly identified risks to the marine environment </w:t>
      </w:r>
      <w:proofErr w:type="gramStart"/>
      <w:r w:rsidRPr="008A085B">
        <w:rPr>
          <w:rFonts w:ascii="Calibri Light" w:eastAsia="Calibri" w:hAnsi="Calibri Light" w:cs="Calibri Light"/>
          <w:sz w:val="20"/>
          <w:lang w:val="en-US" w:eastAsia="en-US"/>
        </w:rPr>
        <w:t>taking into account</w:t>
      </w:r>
      <w:proofErr w:type="gramEnd"/>
      <w:r w:rsidRPr="008A085B">
        <w:rPr>
          <w:rFonts w:ascii="Calibri Light" w:eastAsia="Calibri" w:hAnsi="Calibri Light" w:cs="Calibri Light"/>
          <w:sz w:val="20"/>
          <w:lang w:val="en-US" w:eastAsia="en-US"/>
        </w:rPr>
        <w:t xml:space="preserve"> recommendations from OTSOPA; and</w:t>
      </w:r>
    </w:p>
    <w:p w14:paraId="55529CF3" w14:textId="77777777" w:rsidR="000326B5" w:rsidRPr="008A085B" w:rsidRDefault="000326B5" w:rsidP="008A085B">
      <w:pPr>
        <w:numPr>
          <w:ilvl w:val="0"/>
          <w:numId w:val="8"/>
        </w:numPr>
        <w:tabs>
          <w:tab w:val="clear" w:pos="357"/>
          <w:tab w:val="left" w:pos="709"/>
        </w:tabs>
        <w:spacing w:after="0" w:line="240" w:lineRule="auto"/>
        <w:contextualSpacing/>
        <w:jc w:val="left"/>
        <w:rPr>
          <w:rFonts w:ascii="Calibri Light" w:eastAsia="Calibri" w:hAnsi="Calibri Light" w:cs="Calibri Light"/>
          <w:sz w:val="20"/>
          <w:lang w:val="en-US" w:eastAsia="en-US"/>
        </w:rPr>
      </w:pPr>
      <w:r w:rsidRPr="008A085B">
        <w:rPr>
          <w:rFonts w:ascii="Calibri Light" w:eastAsia="Calibri" w:hAnsi="Calibri Light" w:cs="Calibri Light"/>
          <w:sz w:val="20"/>
          <w:lang w:val="en-US" w:eastAsia="en-US"/>
        </w:rPr>
        <w:t>Make full use of the BE-AWARE projects I and II, to identify the most effective future risk reduction and response measures.</w:t>
      </w:r>
    </w:p>
    <w:p w14:paraId="5D5C0099" w14:textId="77777777" w:rsidR="000326B5" w:rsidRPr="000326B5" w:rsidRDefault="000326B5" w:rsidP="000326B5">
      <w:pPr>
        <w:tabs>
          <w:tab w:val="clear" w:pos="357"/>
          <w:tab w:val="left" w:pos="720"/>
        </w:tabs>
        <w:spacing w:after="240" w:line="280" w:lineRule="atLeast"/>
        <w:jc w:val="left"/>
        <w:rPr>
          <w:rFonts w:ascii="Calibri Light" w:hAnsi="Calibri Light" w:cs="Calibri Light"/>
          <w:sz w:val="20"/>
        </w:rPr>
      </w:pPr>
    </w:p>
    <w:p w14:paraId="2D8FE41F" w14:textId="77777777" w:rsidR="000326B5" w:rsidRPr="000326B5" w:rsidRDefault="000326B5" w:rsidP="000326B5">
      <w:pPr>
        <w:keepNext/>
        <w:tabs>
          <w:tab w:val="clear" w:pos="357"/>
          <w:tab w:val="left" w:pos="720"/>
        </w:tabs>
        <w:spacing w:line="280" w:lineRule="atLeast"/>
        <w:jc w:val="left"/>
        <w:rPr>
          <w:rFonts w:ascii="Calibri Light" w:hAnsi="Calibri Light" w:cs="Calibri Light"/>
          <w:i/>
          <w:sz w:val="20"/>
          <w:u w:val="single"/>
        </w:rPr>
      </w:pPr>
      <w:r w:rsidRPr="000326B5">
        <w:rPr>
          <w:rFonts w:ascii="Calibri Light" w:hAnsi="Calibri Light" w:cs="Calibri Light"/>
          <w:b/>
          <w:sz w:val="20"/>
          <w:u w:val="single"/>
        </w:rPr>
        <w:t>Strategic Aims</w:t>
      </w:r>
    </w:p>
    <w:p w14:paraId="042F3A61" w14:textId="77777777" w:rsidR="000326B5" w:rsidRPr="000326B5" w:rsidRDefault="000326B5" w:rsidP="000326B5">
      <w:pPr>
        <w:tabs>
          <w:tab w:val="clear" w:pos="357"/>
          <w:tab w:val="left" w:pos="720"/>
        </w:tabs>
        <w:spacing w:after="140" w:line="280" w:lineRule="atLeast"/>
        <w:ind w:left="540" w:hanging="540"/>
        <w:jc w:val="left"/>
        <w:rPr>
          <w:rFonts w:ascii="Calibri Light" w:hAnsi="Calibri Light" w:cs="Calibri Light"/>
          <w:b/>
          <w:i/>
          <w:sz w:val="20"/>
        </w:rPr>
      </w:pPr>
      <w:r w:rsidRPr="000326B5">
        <w:rPr>
          <w:rFonts w:ascii="Calibri Light" w:hAnsi="Calibri Light" w:cs="Calibri Light"/>
          <w:b/>
          <w:i/>
          <w:sz w:val="20"/>
        </w:rPr>
        <w:t xml:space="preserve">A. </w:t>
      </w:r>
      <w:r w:rsidRPr="000326B5">
        <w:rPr>
          <w:rFonts w:ascii="Calibri Light" w:hAnsi="Calibri Light" w:cs="Calibri Light"/>
          <w:b/>
          <w:i/>
          <w:sz w:val="20"/>
        </w:rPr>
        <w:tab/>
        <w:t>Prevention of illegal and accidental pollution by collaboration and collective enforcement of international maritime pollution rules and standards, including the compliance of MARPOL Annexes</w:t>
      </w:r>
    </w:p>
    <w:p w14:paraId="22DF48CC" w14:textId="77777777" w:rsidR="000326B5" w:rsidRPr="000326B5" w:rsidRDefault="000326B5" w:rsidP="000326B5">
      <w:pPr>
        <w:tabs>
          <w:tab w:val="clear" w:pos="357"/>
          <w:tab w:val="left" w:pos="720"/>
        </w:tabs>
        <w:spacing w:after="140" w:line="280" w:lineRule="atLeast"/>
        <w:ind w:left="540"/>
        <w:rPr>
          <w:rFonts w:ascii="Calibri Light" w:hAnsi="Calibri Light" w:cs="Calibri Light"/>
          <w:sz w:val="20"/>
        </w:rPr>
      </w:pPr>
      <w:r w:rsidRPr="000326B5">
        <w:rPr>
          <w:rFonts w:ascii="Calibri Light" w:hAnsi="Calibri Light" w:cs="Calibri Light"/>
          <w:sz w:val="20"/>
        </w:rPr>
        <w:t>Despite the wide range of measures taken in recent years, illegal and accidental pollution remains a significant threat for the Greater North Sea. Collaboration in their effective and efficient enforcement is a major tool in safeguarding the marine environment.</w:t>
      </w:r>
    </w:p>
    <w:p w14:paraId="6AF87E5E" w14:textId="77777777" w:rsidR="000326B5" w:rsidRPr="000326B5" w:rsidRDefault="000326B5" w:rsidP="008A085B">
      <w:pPr>
        <w:tabs>
          <w:tab w:val="clear" w:pos="357"/>
          <w:tab w:val="left" w:pos="720"/>
        </w:tabs>
        <w:spacing w:after="140" w:line="280" w:lineRule="atLeast"/>
        <w:ind w:left="540"/>
        <w:rPr>
          <w:rFonts w:ascii="Calibri Light" w:hAnsi="Calibri Light" w:cs="Calibri Light"/>
          <w:sz w:val="20"/>
        </w:rPr>
      </w:pPr>
      <w:r w:rsidRPr="000326B5">
        <w:rPr>
          <w:rFonts w:ascii="Calibri Light" w:hAnsi="Calibri Light" w:cs="Calibri Light"/>
          <w:color w:val="000000"/>
          <w:sz w:val="20"/>
        </w:rPr>
        <w:t xml:space="preserve">The international regulations on marine pollution come from </w:t>
      </w:r>
      <w:r w:rsidRPr="000326B5">
        <w:rPr>
          <w:bCs/>
          <w:color w:val="000000"/>
          <w:sz w:val="20"/>
          <w:lang w:eastAsia="en-US"/>
        </w:rPr>
        <w:t>the international convention for the prevention of pollution from ships, 1973, as modified by the Protocols of 1978 and 1997 relating thereto (MARPOL)</w:t>
      </w:r>
      <w:r w:rsidRPr="000326B5">
        <w:rPr>
          <w:b/>
          <w:color w:val="000000"/>
          <w:sz w:val="20"/>
          <w:lang w:eastAsia="en-US"/>
        </w:rPr>
        <w:t xml:space="preserve"> </w:t>
      </w:r>
      <w:r w:rsidRPr="008A085B">
        <w:rPr>
          <w:rFonts w:ascii="Calibri Light" w:hAnsi="Calibri Light" w:cs="Calibri Light"/>
          <w:sz w:val="20"/>
        </w:rPr>
        <w:t>developed</w:t>
      </w:r>
      <w:r w:rsidRPr="000326B5">
        <w:rPr>
          <w:rFonts w:ascii="Calibri Light" w:hAnsi="Calibri Light" w:cs="Calibri Light"/>
          <w:color w:val="000000"/>
          <w:sz w:val="20"/>
        </w:rPr>
        <w:t xml:space="preserve"> </w:t>
      </w:r>
      <w:r w:rsidRPr="000326B5">
        <w:rPr>
          <w:rFonts w:ascii="Calibri Light" w:hAnsi="Calibri Light" w:cs="Calibri Light"/>
          <w:sz w:val="20"/>
        </w:rPr>
        <w:t xml:space="preserve">by the International Maritime Organization (IMO) and is aimed at preventing and minimizing pollution from ships - both accidental and from routine operations with the following six technical annexes covering marine pollution by, see IMO’s list of treaties and their amendments at </w:t>
      </w:r>
      <w:hyperlink r:id="rId14" w:history="1">
        <w:r w:rsidRPr="000326B5">
          <w:rPr>
            <w:rFonts w:ascii="Calibri Light" w:hAnsi="Calibri Light" w:cs="Calibri Light"/>
            <w:color w:val="16288E"/>
            <w:sz w:val="20"/>
          </w:rPr>
          <w:t>http://www.imo.org/en/About/Conventions/StatusOfConventions</w:t>
        </w:r>
      </w:hyperlink>
      <w:r w:rsidRPr="000326B5">
        <w:rPr>
          <w:rFonts w:ascii="Calibri Light" w:hAnsi="Calibri Light" w:cs="Calibri Light"/>
          <w:color w:val="44546A"/>
          <w:sz w:val="20"/>
          <w:u w:val="single"/>
        </w:rPr>
        <w:t>,</w:t>
      </w:r>
    </w:p>
    <w:p w14:paraId="5A14C832" w14:textId="77777777" w:rsidR="000326B5" w:rsidRPr="008A085B" w:rsidRDefault="000326B5" w:rsidP="008A085B">
      <w:pPr>
        <w:keepNext/>
        <w:tabs>
          <w:tab w:val="clear" w:pos="357"/>
        </w:tabs>
        <w:spacing w:line="280" w:lineRule="atLeast"/>
        <w:ind w:left="567"/>
        <w:jc w:val="left"/>
        <w:outlineLvl w:val="2"/>
        <w:rPr>
          <w:rFonts w:ascii="Calibri Light" w:hAnsi="Calibri Light" w:cs="Calibri Light"/>
          <w:sz w:val="20"/>
        </w:rPr>
      </w:pPr>
      <w:r w:rsidRPr="008A085B">
        <w:rPr>
          <w:rFonts w:ascii="Calibri Light" w:hAnsi="Calibri Light" w:cs="Calibri Light"/>
          <w:sz w:val="20"/>
        </w:rPr>
        <w:t>Annex I—Regulations for the Prevention of Pollution by Oil</w:t>
      </w:r>
    </w:p>
    <w:p w14:paraId="6A50FD4E" w14:textId="77777777" w:rsidR="000326B5" w:rsidRPr="008A085B" w:rsidRDefault="000326B5" w:rsidP="008A085B">
      <w:pPr>
        <w:keepNext/>
        <w:tabs>
          <w:tab w:val="clear" w:pos="357"/>
        </w:tabs>
        <w:spacing w:line="280" w:lineRule="atLeast"/>
        <w:ind w:left="567"/>
        <w:jc w:val="left"/>
        <w:outlineLvl w:val="1"/>
        <w:rPr>
          <w:rFonts w:ascii="Calibri Light" w:hAnsi="Calibri Light" w:cs="Calibri Light"/>
          <w:sz w:val="20"/>
        </w:rPr>
      </w:pPr>
      <w:r w:rsidRPr="008A085B">
        <w:rPr>
          <w:rFonts w:ascii="Calibri Light" w:hAnsi="Calibri Light" w:cs="Calibri Light"/>
          <w:sz w:val="20"/>
        </w:rPr>
        <w:t>Annex II—Regulations for the Prevention of Pollution by Noxious Liquid Substances in Bulk</w:t>
      </w:r>
    </w:p>
    <w:p w14:paraId="40127CB1" w14:textId="77777777" w:rsidR="000326B5" w:rsidRPr="008A085B" w:rsidRDefault="000326B5" w:rsidP="008A085B">
      <w:pPr>
        <w:keepNext/>
        <w:tabs>
          <w:tab w:val="clear" w:pos="357"/>
        </w:tabs>
        <w:spacing w:line="280" w:lineRule="atLeast"/>
        <w:ind w:left="567"/>
        <w:jc w:val="left"/>
        <w:outlineLvl w:val="1"/>
        <w:rPr>
          <w:rFonts w:ascii="Calibri Light" w:hAnsi="Calibri Light" w:cs="Calibri Light"/>
          <w:sz w:val="20"/>
        </w:rPr>
      </w:pPr>
      <w:r w:rsidRPr="008A085B">
        <w:rPr>
          <w:rFonts w:ascii="Calibri Light" w:hAnsi="Calibri Light" w:cs="Calibri Light"/>
          <w:sz w:val="20"/>
        </w:rPr>
        <w:t>Annex III—Regulations for the Prevention of Pollution by Harmful Substances Carried by Sea in Packaged Form</w:t>
      </w:r>
    </w:p>
    <w:p w14:paraId="20466699" w14:textId="77777777" w:rsidR="000326B5" w:rsidRPr="008A085B" w:rsidRDefault="000326B5" w:rsidP="008A085B">
      <w:pPr>
        <w:keepNext/>
        <w:tabs>
          <w:tab w:val="clear" w:pos="357"/>
        </w:tabs>
        <w:spacing w:line="280" w:lineRule="atLeast"/>
        <w:ind w:left="567"/>
        <w:jc w:val="left"/>
        <w:outlineLvl w:val="1"/>
        <w:rPr>
          <w:rFonts w:ascii="Calibri Light" w:hAnsi="Calibri Light" w:cs="Calibri Light"/>
          <w:sz w:val="20"/>
        </w:rPr>
      </w:pPr>
      <w:r w:rsidRPr="008A085B">
        <w:rPr>
          <w:rFonts w:ascii="Calibri Light" w:hAnsi="Calibri Light" w:cs="Calibri Light"/>
          <w:sz w:val="20"/>
        </w:rPr>
        <w:t>Annex IV—Regulations for the Prevention of Pollution by Sewage from Ships</w:t>
      </w:r>
    </w:p>
    <w:p w14:paraId="47DABC52" w14:textId="77777777" w:rsidR="000326B5" w:rsidRPr="008A085B" w:rsidRDefault="000326B5" w:rsidP="008A085B">
      <w:pPr>
        <w:keepNext/>
        <w:tabs>
          <w:tab w:val="clear" w:pos="357"/>
        </w:tabs>
        <w:spacing w:line="280" w:lineRule="atLeast"/>
        <w:ind w:left="567"/>
        <w:jc w:val="left"/>
        <w:outlineLvl w:val="1"/>
        <w:rPr>
          <w:rFonts w:ascii="Calibri Light" w:hAnsi="Calibri Light" w:cs="Calibri Light"/>
          <w:sz w:val="20"/>
        </w:rPr>
      </w:pPr>
      <w:r w:rsidRPr="008A085B">
        <w:rPr>
          <w:rFonts w:ascii="Calibri Light" w:hAnsi="Calibri Light" w:cs="Calibri Light"/>
          <w:sz w:val="20"/>
        </w:rPr>
        <w:t>Annex V—Regulations for the Prevention of Pollution by Garbage from Ships</w:t>
      </w:r>
    </w:p>
    <w:p w14:paraId="2D776D3B" w14:textId="77777777" w:rsidR="000326B5" w:rsidRPr="008A085B" w:rsidRDefault="000326B5" w:rsidP="008A085B">
      <w:pPr>
        <w:keepNext/>
        <w:tabs>
          <w:tab w:val="clear" w:pos="357"/>
        </w:tabs>
        <w:spacing w:line="280" w:lineRule="atLeast"/>
        <w:ind w:left="567"/>
        <w:jc w:val="left"/>
        <w:outlineLvl w:val="1"/>
        <w:rPr>
          <w:rFonts w:ascii="Calibri Light" w:hAnsi="Calibri Light" w:cs="Calibri Light"/>
          <w:sz w:val="20"/>
        </w:rPr>
      </w:pPr>
      <w:r w:rsidRPr="008A085B">
        <w:rPr>
          <w:rFonts w:ascii="Calibri Light" w:hAnsi="Calibri Light" w:cs="Calibri Light"/>
          <w:sz w:val="20"/>
        </w:rPr>
        <w:t>Annex VI—Regulations for the Prevention of Air Pollution from Ships.</w:t>
      </w:r>
    </w:p>
    <w:p w14:paraId="59A6494C" w14:textId="77777777" w:rsidR="000326B5" w:rsidRPr="000326B5" w:rsidRDefault="000326B5" w:rsidP="000326B5">
      <w:pPr>
        <w:tabs>
          <w:tab w:val="clear" w:pos="357"/>
          <w:tab w:val="left" w:pos="720"/>
        </w:tabs>
        <w:spacing w:before="300" w:after="300" w:line="240" w:lineRule="auto"/>
        <w:ind w:left="567"/>
        <w:rPr>
          <w:rFonts w:ascii="Calibri Light" w:hAnsi="Calibri Light" w:cs="Calibri Light"/>
          <w:sz w:val="20"/>
        </w:rPr>
      </w:pPr>
      <w:r w:rsidRPr="000326B5">
        <w:rPr>
          <w:rFonts w:ascii="Calibri Light" w:hAnsi="Calibri Light" w:cs="Calibri Light"/>
          <w:sz w:val="20"/>
        </w:rPr>
        <w:t>Common and coordinated operational approaches must be established for the compliance monitoring to ensure uniform and consistent implementation and enforcement of MARPOL Annexes and ,in particular, for the implementation and enforcement of the North Sea Emission Control Area (ECA) under MARPOL Annex VI for sulphur and nitrogen oxides as well as in view of the entering into force in 2020 of the global sulphur limit for ships sailing outside ECAs.</w:t>
      </w:r>
    </w:p>
    <w:p w14:paraId="5B56D2C8" w14:textId="77777777" w:rsidR="000326B5" w:rsidRPr="000326B5" w:rsidRDefault="000326B5" w:rsidP="000326B5">
      <w:pPr>
        <w:tabs>
          <w:tab w:val="clear" w:pos="357"/>
          <w:tab w:val="left" w:pos="720"/>
        </w:tabs>
        <w:spacing w:after="140" w:line="280" w:lineRule="atLeast"/>
        <w:ind w:left="540" w:hanging="540"/>
        <w:jc w:val="left"/>
        <w:rPr>
          <w:rFonts w:ascii="Calibri Light" w:hAnsi="Calibri Light" w:cs="Calibri Light"/>
          <w:b/>
          <w:i/>
          <w:sz w:val="20"/>
        </w:rPr>
      </w:pPr>
      <w:r w:rsidRPr="000326B5">
        <w:rPr>
          <w:rFonts w:ascii="Calibri Light" w:hAnsi="Calibri Light" w:cs="Calibri Light"/>
          <w:b/>
          <w:i/>
          <w:sz w:val="20"/>
        </w:rPr>
        <w:lastRenderedPageBreak/>
        <w:t xml:space="preserve">B. </w:t>
      </w:r>
      <w:r w:rsidRPr="000326B5">
        <w:rPr>
          <w:rFonts w:ascii="Calibri Light" w:hAnsi="Calibri Light" w:cs="Calibri Light"/>
          <w:b/>
          <w:i/>
          <w:sz w:val="20"/>
        </w:rPr>
        <w:tab/>
        <w:t>Promotion and establishment of efficient emergency preparedness</w:t>
      </w:r>
    </w:p>
    <w:p w14:paraId="2CE12B42" w14:textId="77777777" w:rsidR="000326B5" w:rsidRPr="000326B5" w:rsidRDefault="000326B5" w:rsidP="000326B5">
      <w:pPr>
        <w:keepNext/>
        <w:tabs>
          <w:tab w:val="clear" w:pos="357"/>
          <w:tab w:val="left" w:pos="720"/>
        </w:tabs>
        <w:spacing w:line="280" w:lineRule="atLeast"/>
        <w:ind w:left="540"/>
        <w:rPr>
          <w:rFonts w:ascii="Calibri Light" w:hAnsi="Calibri Light" w:cs="Calibri Light"/>
          <w:sz w:val="20"/>
        </w:rPr>
      </w:pPr>
      <w:r w:rsidRPr="000326B5">
        <w:rPr>
          <w:rFonts w:ascii="Calibri Light" w:hAnsi="Calibri Light" w:cs="Calibri Light"/>
          <w:sz w:val="20"/>
        </w:rPr>
        <w:t xml:space="preserve">International and European obligations are in place to ensure that Greater North Sea states are prepared to respond in the event of pollution incidents including global protocols and regional joint responsibility zones. Cooperation with other regional and international organisations is needed to identify synergies and avoid duplications. Appropriate knowledge, planning, training and operational testing of emergency systems is needed to ensure effective preparedness. The planning of counter pollution measures should </w:t>
      </w:r>
      <w:proofErr w:type="gramStart"/>
      <w:r w:rsidRPr="000326B5">
        <w:rPr>
          <w:rFonts w:ascii="Calibri Light" w:hAnsi="Calibri Light" w:cs="Calibri Light"/>
          <w:sz w:val="20"/>
        </w:rPr>
        <w:t>take into account</w:t>
      </w:r>
      <w:proofErr w:type="gramEnd"/>
      <w:r w:rsidRPr="000326B5">
        <w:rPr>
          <w:rFonts w:ascii="Calibri Light" w:hAnsi="Calibri Light" w:cs="Calibri Light"/>
          <w:sz w:val="20"/>
        </w:rPr>
        <w:t xml:space="preserve"> the best available environmental advice.</w:t>
      </w:r>
    </w:p>
    <w:p w14:paraId="55454C55" w14:textId="77777777" w:rsidR="000326B5" w:rsidRPr="000326B5" w:rsidRDefault="000326B5" w:rsidP="000326B5">
      <w:pPr>
        <w:tabs>
          <w:tab w:val="clear" w:pos="357"/>
          <w:tab w:val="left" w:pos="720"/>
        </w:tabs>
        <w:spacing w:after="140" w:line="280" w:lineRule="atLeast"/>
        <w:ind w:left="540" w:hanging="540"/>
        <w:jc w:val="left"/>
        <w:rPr>
          <w:rFonts w:ascii="Calibri Light" w:hAnsi="Calibri Light" w:cs="Calibri Light"/>
          <w:b/>
          <w:i/>
          <w:sz w:val="20"/>
        </w:rPr>
      </w:pPr>
      <w:r w:rsidRPr="000326B5">
        <w:rPr>
          <w:rFonts w:ascii="Calibri Light" w:hAnsi="Calibri Light" w:cs="Calibri Light"/>
          <w:b/>
          <w:i/>
          <w:sz w:val="20"/>
        </w:rPr>
        <w:t xml:space="preserve">C. </w:t>
      </w:r>
      <w:r w:rsidRPr="000326B5">
        <w:rPr>
          <w:rFonts w:ascii="Calibri Light" w:hAnsi="Calibri Light" w:cs="Calibri Light"/>
          <w:b/>
          <w:i/>
          <w:sz w:val="20"/>
        </w:rPr>
        <w:tab/>
        <w:t>Organisation of optimum response capacities</w:t>
      </w:r>
    </w:p>
    <w:p w14:paraId="5E8E2C0C" w14:textId="77777777" w:rsidR="000326B5" w:rsidRPr="000326B5" w:rsidRDefault="000326B5" w:rsidP="000326B5">
      <w:pPr>
        <w:tabs>
          <w:tab w:val="clear" w:pos="357"/>
          <w:tab w:val="left" w:pos="720"/>
        </w:tabs>
        <w:spacing w:after="240" w:line="280" w:lineRule="atLeast"/>
        <w:ind w:left="547" w:right="-82" w:hanging="547"/>
        <w:rPr>
          <w:rFonts w:ascii="Calibri Light" w:hAnsi="Calibri Light" w:cs="Calibri Light"/>
          <w:sz w:val="20"/>
        </w:rPr>
      </w:pPr>
      <w:r w:rsidRPr="000326B5">
        <w:rPr>
          <w:rFonts w:ascii="Calibri Light" w:hAnsi="Calibri Light" w:cs="Calibri Light"/>
          <w:b/>
          <w:i/>
          <w:sz w:val="20"/>
        </w:rPr>
        <w:tab/>
      </w:r>
      <w:r w:rsidRPr="000326B5">
        <w:rPr>
          <w:rFonts w:ascii="Calibri Light" w:hAnsi="Calibri Light" w:cs="Calibri Light"/>
          <w:sz w:val="20"/>
        </w:rPr>
        <w:t>Despite all efforts to increase maritime safety there will always be the risk of incidents. Increasing levels of maritime transportation and hazardous and noxious cargos are leading to increasing risk for the marine environment. Contracting Parties have already put considerable resources into adequate response capacities. To further improve efficiency, not least in financial terms, the further development of response capacities should be based on risk assessments, gap analysis and regional and sub-regional approaches. Coordinated research and development programmes are needed to ensure counter-pollution measures are executed with best available techniques and equipment.</w:t>
      </w:r>
    </w:p>
    <w:p w14:paraId="0F3CBA07" w14:textId="77777777" w:rsidR="000326B5" w:rsidRPr="000326B5" w:rsidRDefault="000326B5" w:rsidP="000326B5">
      <w:pPr>
        <w:tabs>
          <w:tab w:val="clear" w:pos="357"/>
          <w:tab w:val="left" w:pos="720"/>
        </w:tabs>
        <w:spacing w:after="240" w:line="280" w:lineRule="atLeast"/>
        <w:jc w:val="left"/>
        <w:rPr>
          <w:rFonts w:ascii="Calibri Light" w:hAnsi="Calibri Light" w:cs="Calibri Light"/>
          <w:sz w:val="20"/>
        </w:rPr>
      </w:pPr>
      <w:r w:rsidRPr="000326B5">
        <w:rPr>
          <w:rFonts w:ascii="Calibri Light" w:hAnsi="Calibri Light" w:cs="Calibri Light"/>
          <w:sz w:val="20"/>
        </w:rPr>
        <w:t>To achieve its strategic aims the Bonn Agreement has agreed the following operational objectives:</w:t>
      </w:r>
    </w:p>
    <w:p w14:paraId="27B96713" w14:textId="77777777" w:rsidR="000326B5" w:rsidRPr="000326B5" w:rsidRDefault="000326B5" w:rsidP="000326B5">
      <w:pPr>
        <w:keepNext/>
        <w:tabs>
          <w:tab w:val="clear" w:pos="357"/>
          <w:tab w:val="left" w:pos="720"/>
        </w:tabs>
        <w:spacing w:after="240" w:line="280" w:lineRule="atLeast"/>
        <w:jc w:val="left"/>
        <w:rPr>
          <w:rFonts w:ascii="Calibri Light" w:hAnsi="Calibri Light" w:cs="Calibri Light"/>
          <w:b/>
          <w:sz w:val="20"/>
          <w:u w:val="single"/>
        </w:rPr>
      </w:pPr>
      <w:r w:rsidRPr="000326B5">
        <w:rPr>
          <w:rFonts w:ascii="Calibri Light" w:hAnsi="Calibri Light" w:cs="Calibri Light"/>
          <w:b/>
          <w:sz w:val="20"/>
          <w:u w:val="single"/>
        </w:rPr>
        <w:t>Operational objectives:</w:t>
      </w:r>
    </w:p>
    <w:p w14:paraId="0EB41727" w14:textId="77777777" w:rsidR="000326B5" w:rsidRPr="000326B5" w:rsidRDefault="000326B5" w:rsidP="000326B5">
      <w:pPr>
        <w:tabs>
          <w:tab w:val="clear" w:pos="357"/>
          <w:tab w:val="left" w:pos="720"/>
        </w:tabs>
        <w:spacing w:after="140" w:line="280" w:lineRule="atLeast"/>
        <w:jc w:val="left"/>
        <w:rPr>
          <w:rFonts w:ascii="Calibri Light" w:hAnsi="Calibri Light" w:cs="Calibri Light"/>
          <w:b/>
          <w:i/>
          <w:sz w:val="20"/>
        </w:rPr>
      </w:pPr>
      <w:r w:rsidRPr="000326B5">
        <w:rPr>
          <w:rFonts w:ascii="Calibri Light" w:hAnsi="Calibri Light" w:cs="Calibri Light"/>
          <w:b/>
          <w:i/>
          <w:sz w:val="20"/>
        </w:rPr>
        <w:t>Operational objectives in relation to Strategic Aim A (prevention):</w:t>
      </w:r>
    </w:p>
    <w:p w14:paraId="2DE8DF14" w14:textId="77777777" w:rsidR="000326B5" w:rsidRPr="000326B5" w:rsidRDefault="000326B5" w:rsidP="000326B5">
      <w:pPr>
        <w:tabs>
          <w:tab w:val="clear" w:pos="357"/>
          <w:tab w:val="left" w:pos="720"/>
        </w:tabs>
        <w:spacing w:after="80" w:line="280" w:lineRule="atLeast"/>
        <w:ind w:left="1454" w:hanging="907"/>
        <w:jc w:val="left"/>
        <w:rPr>
          <w:rFonts w:ascii="Calibri Light" w:hAnsi="Calibri Light" w:cs="Calibri Light"/>
          <w:sz w:val="20"/>
        </w:rPr>
      </w:pPr>
      <w:proofErr w:type="gramStart"/>
      <w:r w:rsidRPr="000326B5">
        <w:rPr>
          <w:rFonts w:ascii="Calibri Light" w:hAnsi="Calibri Light" w:cs="Calibri Light"/>
          <w:sz w:val="20"/>
        </w:rPr>
        <w:t>A.I</w:t>
      </w:r>
      <w:proofErr w:type="gramEnd"/>
      <w:r w:rsidRPr="000326B5">
        <w:rPr>
          <w:rFonts w:ascii="Calibri Light" w:hAnsi="Calibri Light" w:cs="Calibri Light"/>
          <w:sz w:val="20"/>
        </w:rPr>
        <w:tab/>
        <w:t xml:space="preserve">To undertake adequate surveillance of shipping and other maritime activities in the Greater North Sea and ensure efficient reporting of observations in the Bonn Agreement zones of </w:t>
      </w:r>
      <w:proofErr w:type="gramStart"/>
      <w:r w:rsidRPr="000326B5">
        <w:rPr>
          <w:rFonts w:ascii="Calibri Light" w:hAnsi="Calibri Light" w:cs="Calibri Light"/>
          <w:sz w:val="20"/>
        </w:rPr>
        <w:t>responsibility;</w:t>
      </w:r>
      <w:proofErr w:type="gramEnd"/>
    </w:p>
    <w:p w14:paraId="59C2C6AD" w14:textId="77777777" w:rsidR="000326B5" w:rsidRPr="000326B5" w:rsidRDefault="000326B5" w:rsidP="000326B5">
      <w:pPr>
        <w:tabs>
          <w:tab w:val="clear" w:pos="357"/>
          <w:tab w:val="left" w:pos="720"/>
        </w:tabs>
        <w:spacing w:after="80" w:line="280" w:lineRule="atLeast"/>
        <w:ind w:left="1454" w:hanging="907"/>
        <w:jc w:val="left"/>
        <w:rPr>
          <w:rFonts w:ascii="Calibri Light" w:hAnsi="Calibri Light" w:cs="Calibri Light"/>
          <w:sz w:val="20"/>
        </w:rPr>
      </w:pPr>
      <w:proofErr w:type="gramStart"/>
      <w:r w:rsidRPr="000326B5">
        <w:rPr>
          <w:rFonts w:ascii="Calibri Light" w:hAnsi="Calibri Light" w:cs="Calibri Light"/>
          <w:sz w:val="20"/>
        </w:rPr>
        <w:t>A.II</w:t>
      </w:r>
      <w:proofErr w:type="gramEnd"/>
      <w:r w:rsidRPr="000326B5">
        <w:rPr>
          <w:rFonts w:ascii="Calibri Light" w:hAnsi="Calibri Light" w:cs="Calibri Light"/>
          <w:sz w:val="20"/>
        </w:rPr>
        <w:tab/>
        <w:t xml:space="preserve">To provide management and aircrew with </w:t>
      </w:r>
      <w:proofErr w:type="gramStart"/>
      <w:r w:rsidRPr="000326B5">
        <w:rPr>
          <w:rFonts w:ascii="Calibri Light" w:hAnsi="Calibri Light" w:cs="Calibri Light"/>
          <w:sz w:val="20"/>
        </w:rPr>
        <w:t>up to date</w:t>
      </w:r>
      <w:proofErr w:type="gramEnd"/>
      <w:r w:rsidRPr="000326B5">
        <w:rPr>
          <w:rFonts w:ascii="Calibri Light" w:hAnsi="Calibri Light" w:cs="Calibri Light"/>
          <w:sz w:val="20"/>
        </w:rPr>
        <w:t xml:space="preserve"> information on the planning and conduct of counter-pollution flights within the Bonn Agreement </w:t>
      </w:r>
      <w:proofErr w:type="gramStart"/>
      <w:r w:rsidRPr="000326B5">
        <w:rPr>
          <w:rFonts w:ascii="Calibri Light" w:hAnsi="Calibri Light" w:cs="Calibri Light"/>
          <w:sz w:val="20"/>
        </w:rPr>
        <w:t>area;</w:t>
      </w:r>
      <w:proofErr w:type="gramEnd"/>
    </w:p>
    <w:p w14:paraId="204CAE78" w14:textId="77777777" w:rsidR="000326B5" w:rsidRPr="000326B5" w:rsidRDefault="000326B5" w:rsidP="000326B5">
      <w:pPr>
        <w:tabs>
          <w:tab w:val="clear" w:pos="357"/>
          <w:tab w:val="left" w:pos="720"/>
        </w:tabs>
        <w:spacing w:after="140" w:line="280" w:lineRule="atLeast"/>
        <w:ind w:left="1440" w:hanging="900"/>
        <w:jc w:val="left"/>
        <w:rPr>
          <w:rFonts w:ascii="Calibri Light" w:hAnsi="Calibri Light" w:cs="Calibri Light"/>
          <w:sz w:val="20"/>
        </w:rPr>
      </w:pPr>
      <w:r w:rsidRPr="000326B5">
        <w:rPr>
          <w:rFonts w:ascii="Calibri Light" w:hAnsi="Calibri Light" w:cs="Calibri Light"/>
          <w:sz w:val="20"/>
        </w:rPr>
        <w:t>A.III</w:t>
      </w:r>
      <w:r w:rsidRPr="000326B5">
        <w:rPr>
          <w:rFonts w:ascii="Calibri Light" w:hAnsi="Calibri Light" w:cs="Calibri Light"/>
          <w:sz w:val="20"/>
        </w:rPr>
        <w:tab/>
        <w:t xml:space="preserve">To ensure common operational approaches in the compliance monitoring of MARPOL </w:t>
      </w:r>
      <w:proofErr w:type="gramStart"/>
      <w:r w:rsidRPr="000326B5">
        <w:rPr>
          <w:rFonts w:ascii="Calibri Light" w:hAnsi="Calibri Light" w:cs="Calibri Light"/>
          <w:sz w:val="20"/>
        </w:rPr>
        <w:t>Annexes;</w:t>
      </w:r>
      <w:proofErr w:type="gramEnd"/>
    </w:p>
    <w:p w14:paraId="38CE0058" w14:textId="77777777" w:rsidR="000326B5" w:rsidRPr="000326B5" w:rsidRDefault="000326B5" w:rsidP="000326B5">
      <w:pPr>
        <w:tabs>
          <w:tab w:val="clear" w:pos="357"/>
          <w:tab w:val="left" w:pos="720"/>
        </w:tabs>
        <w:spacing w:after="60" w:line="280" w:lineRule="atLeast"/>
        <w:ind w:left="1454" w:hanging="907"/>
        <w:jc w:val="left"/>
        <w:rPr>
          <w:rFonts w:ascii="Calibri Light" w:hAnsi="Calibri Light" w:cs="Calibri Light"/>
          <w:sz w:val="20"/>
        </w:rPr>
      </w:pPr>
      <w:proofErr w:type="gramStart"/>
      <w:r w:rsidRPr="000326B5">
        <w:rPr>
          <w:rFonts w:ascii="Calibri Light" w:hAnsi="Calibri Light" w:cs="Calibri Light"/>
          <w:sz w:val="20"/>
        </w:rPr>
        <w:t>A.IV</w:t>
      </w:r>
      <w:proofErr w:type="gramEnd"/>
      <w:r w:rsidRPr="000326B5">
        <w:rPr>
          <w:rFonts w:ascii="Calibri Light" w:hAnsi="Calibri Light" w:cs="Calibri Light"/>
          <w:sz w:val="20"/>
        </w:rPr>
        <w:tab/>
        <w:t xml:space="preserve">To ensure efficient gathering of evidence in the case of pollution incidents and close cooperation with investigators and prosecutors on enforcement of maritime pollution rules and standards in the Greater North </w:t>
      </w:r>
      <w:proofErr w:type="gramStart"/>
      <w:r w:rsidRPr="000326B5">
        <w:rPr>
          <w:rFonts w:ascii="Calibri Light" w:hAnsi="Calibri Light" w:cs="Calibri Light"/>
          <w:sz w:val="20"/>
        </w:rPr>
        <w:t>Sea;</w:t>
      </w:r>
      <w:proofErr w:type="gramEnd"/>
    </w:p>
    <w:p w14:paraId="51F00623" w14:textId="77777777" w:rsidR="000326B5" w:rsidRPr="000326B5" w:rsidRDefault="000326B5" w:rsidP="000326B5">
      <w:pPr>
        <w:tabs>
          <w:tab w:val="clear" w:pos="357"/>
          <w:tab w:val="left" w:pos="720"/>
        </w:tabs>
        <w:spacing w:after="240" w:line="280" w:lineRule="atLeast"/>
        <w:ind w:left="1454" w:hanging="907"/>
        <w:jc w:val="left"/>
        <w:rPr>
          <w:rFonts w:ascii="Calibri Light" w:hAnsi="Calibri Light" w:cs="Calibri Light"/>
          <w:sz w:val="20"/>
        </w:rPr>
      </w:pPr>
      <w:proofErr w:type="gramStart"/>
      <w:r w:rsidRPr="000326B5">
        <w:rPr>
          <w:rFonts w:ascii="Calibri Light" w:hAnsi="Calibri Light" w:cs="Calibri Light"/>
          <w:sz w:val="20"/>
        </w:rPr>
        <w:t>A.V</w:t>
      </w:r>
      <w:proofErr w:type="gramEnd"/>
      <w:r w:rsidRPr="000326B5">
        <w:rPr>
          <w:rFonts w:ascii="Calibri Light" w:hAnsi="Calibri Light" w:cs="Calibri Light"/>
          <w:sz w:val="20"/>
        </w:rPr>
        <w:tab/>
        <w:t>To communicate and disseminate information on the prevention of illegal and accidental pollution to the public and at expert level.</w:t>
      </w:r>
    </w:p>
    <w:p w14:paraId="00284236" w14:textId="77777777" w:rsidR="000326B5" w:rsidRPr="000326B5" w:rsidRDefault="000326B5" w:rsidP="000326B5">
      <w:pPr>
        <w:tabs>
          <w:tab w:val="clear" w:pos="357"/>
          <w:tab w:val="left" w:pos="720"/>
        </w:tabs>
        <w:spacing w:after="140" w:line="280" w:lineRule="atLeast"/>
        <w:ind w:left="1454" w:hanging="1454"/>
        <w:jc w:val="left"/>
        <w:rPr>
          <w:rFonts w:ascii="Calibri Light" w:hAnsi="Calibri Light" w:cs="Calibri Light"/>
          <w:b/>
          <w:i/>
          <w:sz w:val="20"/>
        </w:rPr>
      </w:pPr>
      <w:r w:rsidRPr="000326B5">
        <w:rPr>
          <w:rFonts w:ascii="Calibri Light" w:hAnsi="Calibri Light" w:cs="Calibri Light"/>
          <w:b/>
          <w:i/>
          <w:sz w:val="20"/>
        </w:rPr>
        <w:t>Objectives for the implementation of Strategic Aim B (preparedness):</w:t>
      </w:r>
    </w:p>
    <w:p w14:paraId="2380CEC3" w14:textId="77777777" w:rsidR="000326B5" w:rsidRPr="000326B5" w:rsidRDefault="000326B5" w:rsidP="000326B5">
      <w:pPr>
        <w:tabs>
          <w:tab w:val="clear" w:pos="357"/>
          <w:tab w:val="left" w:pos="720"/>
        </w:tabs>
        <w:spacing w:after="80" w:line="280" w:lineRule="atLeast"/>
        <w:ind w:left="1454" w:hanging="907"/>
        <w:jc w:val="left"/>
        <w:rPr>
          <w:rFonts w:ascii="Calibri Light" w:hAnsi="Calibri Light" w:cs="Calibri Light"/>
          <w:sz w:val="20"/>
        </w:rPr>
      </w:pPr>
      <w:proofErr w:type="gramStart"/>
      <w:r w:rsidRPr="000326B5">
        <w:rPr>
          <w:rFonts w:ascii="Calibri Light" w:hAnsi="Calibri Light" w:cs="Calibri Light"/>
          <w:sz w:val="20"/>
        </w:rPr>
        <w:t>B.I</w:t>
      </w:r>
      <w:proofErr w:type="gramEnd"/>
      <w:r w:rsidRPr="000326B5">
        <w:rPr>
          <w:rFonts w:ascii="Calibri Light" w:hAnsi="Calibri Light" w:cs="Calibri Light"/>
          <w:sz w:val="20"/>
        </w:rPr>
        <w:tab/>
        <w:t xml:space="preserve">To establish common understanding of the way in which it is appropriate to respond to maritime emergencies and ensure awareness of national contingency systems and </w:t>
      </w:r>
      <w:proofErr w:type="gramStart"/>
      <w:r w:rsidRPr="000326B5">
        <w:rPr>
          <w:rFonts w:ascii="Calibri Light" w:hAnsi="Calibri Light" w:cs="Calibri Light"/>
          <w:sz w:val="20"/>
        </w:rPr>
        <w:t>strategies;</w:t>
      </w:r>
      <w:proofErr w:type="gramEnd"/>
    </w:p>
    <w:p w14:paraId="1F88CAB6" w14:textId="77777777" w:rsidR="000326B5" w:rsidRPr="000326B5" w:rsidRDefault="000326B5" w:rsidP="000326B5">
      <w:pPr>
        <w:tabs>
          <w:tab w:val="clear" w:pos="357"/>
          <w:tab w:val="left" w:pos="720"/>
        </w:tabs>
        <w:spacing w:after="80" w:line="280" w:lineRule="atLeast"/>
        <w:ind w:left="1454" w:hanging="907"/>
        <w:jc w:val="left"/>
        <w:rPr>
          <w:rFonts w:ascii="Calibri Light" w:hAnsi="Calibri Light" w:cs="Calibri Light"/>
          <w:sz w:val="20"/>
        </w:rPr>
      </w:pPr>
      <w:proofErr w:type="gramStart"/>
      <w:r w:rsidRPr="000326B5">
        <w:rPr>
          <w:rFonts w:ascii="Calibri Light" w:hAnsi="Calibri Light" w:cs="Calibri Light"/>
          <w:sz w:val="20"/>
        </w:rPr>
        <w:t>B.II</w:t>
      </w:r>
      <w:proofErr w:type="gramEnd"/>
      <w:r w:rsidRPr="000326B5">
        <w:rPr>
          <w:rFonts w:ascii="Calibri Light" w:hAnsi="Calibri Light" w:cs="Calibri Light"/>
          <w:sz w:val="20"/>
        </w:rPr>
        <w:tab/>
        <w:t xml:space="preserve">To maintain an adequate level of training of response staff and cooperation between combating units of the Contracting Parties and promote the preparedness for efficient multinational combating </w:t>
      </w:r>
      <w:proofErr w:type="gramStart"/>
      <w:r w:rsidRPr="000326B5">
        <w:rPr>
          <w:rFonts w:ascii="Calibri Light" w:hAnsi="Calibri Light" w:cs="Calibri Light"/>
          <w:sz w:val="20"/>
        </w:rPr>
        <w:t>operations;</w:t>
      </w:r>
      <w:proofErr w:type="gramEnd"/>
    </w:p>
    <w:p w14:paraId="5DD56EFF" w14:textId="77777777" w:rsidR="000326B5" w:rsidRPr="000326B5" w:rsidRDefault="000326B5" w:rsidP="000326B5">
      <w:pPr>
        <w:tabs>
          <w:tab w:val="clear" w:pos="357"/>
          <w:tab w:val="left" w:pos="720"/>
        </w:tabs>
        <w:spacing w:after="80" w:line="280" w:lineRule="atLeast"/>
        <w:ind w:left="1454" w:hanging="907"/>
        <w:jc w:val="left"/>
        <w:rPr>
          <w:rFonts w:ascii="Calibri Light" w:hAnsi="Calibri Light" w:cs="Calibri Light"/>
          <w:sz w:val="20"/>
        </w:rPr>
      </w:pPr>
      <w:r w:rsidRPr="000326B5">
        <w:rPr>
          <w:rFonts w:ascii="Calibri Light" w:hAnsi="Calibri Light" w:cs="Calibri Light"/>
          <w:sz w:val="20"/>
        </w:rPr>
        <w:t>B.III</w:t>
      </w:r>
      <w:r w:rsidRPr="000326B5">
        <w:rPr>
          <w:rFonts w:ascii="Calibri Light" w:hAnsi="Calibri Light" w:cs="Calibri Light"/>
          <w:sz w:val="20"/>
        </w:rPr>
        <w:tab/>
        <w:t xml:space="preserve">To ensure that response action by Contracting Parties is properly formulated to safeguard the marine environment and that priorities are established on the most appropriate </w:t>
      </w:r>
      <w:proofErr w:type="gramStart"/>
      <w:r w:rsidRPr="000326B5">
        <w:rPr>
          <w:rFonts w:ascii="Calibri Light" w:hAnsi="Calibri Light" w:cs="Calibri Light"/>
          <w:sz w:val="20"/>
        </w:rPr>
        <w:t>basis;</w:t>
      </w:r>
      <w:proofErr w:type="gramEnd"/>
    </w:p>
    <w:p w14:paraId="60102665" w14:textId="77777777" w:rsidR="000326B5" w:rsidRPr="000326B5" w:rsidRDefault="000326B5" w:rsidP="000326B5">
      <w:pPr>
        <w:tabs>
          <w:tab w:val="clear" w:pos="357"/>
          <w:tab w:val="left" w:pos="720"/>
        </w:tabs>
        <w:spacing w:after="240" w:line="280" w:lineRule="atLeast"/>
        <w:ind w:left="1454" w:hanging="907"/>
        <w:jc w:val="left"/>
        <w:rPr>
          <w:rFonts w:ascii="Calibri Light" w:hAnsi="Calibri Light" w:cs="Calibri Light"/>
          <w:sz w:val="20"/>
        </w:rPr>
      </w:pPr>
      <w:proofErr w:type="gramStart"/>
      <w:r w:rsidRPr="000326B5">
        <w:rPr>
          <w:rFonts w:ascii="Calibri Light" w:hAnsi="Calibri Light" w:cs="Calibri Light"/>
          <w:color w:val="000000"/>
          <w:spacing w:val="-2"/>
          <w:sz w:val="20"/>
        </w:rPr>
        <w:t>B.IV</w:t>
      </w:r>
      <w:proofErr w:type="gramEnd"/>
      <w:r w:rsidRPr="000326B5">
        <w:rPr>
          <w:rFonts w:ascii="Calibri Light" w:hAnsi="Calibri Light" w:cs="Calibri Light"/>
          <w:color w:val="000000"/>
          <w:spacing w:val="-2"/>
          <w:sz w:val="20"/>
        </w:rPr>
        <w:tab/>
        <w:t xml:space="preserve">To cooperate with other international and European organisations as well as neighbouring maritime regions </w:t>
      </w:r>
      <w:proofErr w:type="gramStart"/>
      <w:r w:rsidRPr="000326B5">
        <w:rPr>
          <w:rFonts w:ascii="Calibri Light" w:hAnsi="Calibri Light" w:cs="Calibri Light"/>
          <w:color w:val="000000"/>
          <w:spacing w:val="-2"/>
          <w:sz w:val="20"/>
        </w:rPr>
        <w:t>in order to</w:t>
      </w:r>
      <w:proofErr w:type="gramEnd"/>
      <w:r w:rsidRPr="000326B5">
        <w:rPr>
          <w:rFonts w:ascii="Calibri Light" w:hAnsi="Calibri Light" w:cs="Calibri Light"/>
          <w:color w:val="000000"/>
          <w:spacing w:val="-2"/>
          <w:sz w:val="20"/>
        </w:rPr>
        <w:t xml:space="preserve"> identify synergies and avoid duplications.</w:t>
      </w:r>
    </w:p>
    <w:p w14:paraId="669DD0E6" w14:textId="77777777" w:rsidR="000326B5" w:rsidRPr="000326B5" w:rsidRDefault="000326B5" w:rsidP="000326B5">
      <w:pPr>
        <w:keepNext/>
        <w:tabs>
          <w:tab w:val="clear" w:pos="357"/>
          <w:tab w:val="left" w:pos="720"/>
        </w:tabs>
        <w:spacing w:after="140" w:line="280" w:lineRule="atLeast"/>
        <w:jc w:val="left"/>
        <w:rPr>
          <w:rFonts w:ascii="Calibri Light" w:hAnsi="Calibri Light" w:cs="Calibri Light"/>
          <w:b/>
          <w:i/>
          <w:color w:val="000000"/>
          <w:spacing w:val="-2"/>
          <w:sz w:val="20"/>
        </w:rPr>
      </w:pPr>
      <w:r w:rsidRPr="000326B5">
        <w:rPr>
          <w:rFonts w:ascii="Calibri Light" w:hAnsi="Calibri Light" w:cs="Calibri Light"/>
          <w:b/>
          <w:i/>
          <w:sz w:val="20"/>
        </w:rPr>
        <w:lastRenderedPageBreak/>
        <w:t>Objectives for the implementation of Strategic Aim C</w:t>
      </w:r>
      <w:r w:rsidRPr="000326B5">
        <w:rPr>
          <w:rFonts w:ascii="Calibri Light" w:hAnsi="Calibri Light" w:cs="Calibri Light"/>
          <w:b/>
          <w:i/>
          <w:color w:val="000000"/>
          <w:spacing w:val="-2"/>
          <w:sz w:val="20"/>
        </w:rPr>
        <w:t xml:space="preserve"> (response):</w:t>
      </w:r>
    </w:p>
    <w:p w14:paraId="4F63EA16" w14:textId="77777777" w:rsidR="000326B5" w:rsidRPr="000326B5" w:rsidRDefault="000326B5" w:rsidP="000326B5">
      <w:pPr>
        <w:tabs>
          <w:tab w:val="clear" w:pos="357"/>
          <w:tab w:val="left" w:pos="720"/>
        </w:tabs>
        <w:spacing w:line="280" w:lineRule="atLeast"/>
        <w:ind w:left="1454" w:hanging="907"/>
        <w:jc w:val="left"/>
        <w:rPr>
          <w:rFonts w:ascii="Calibri Light" w:hAnsi="Calibri Light" w:cs="Calibri Light"/>
          <w:sz w:val="20"/>
        </w:rPr>
      </w:pPr>
      <w:r w:rsidRPr="000326B5">
        <w:rPr>
          <w:rFonts w:ascii="Calibri Light" w:hAnsi="Calibri Light" w:cs="Calibri Light"/>
          <w:sz w:val="20"/>
        </w:rPr>
        <w:t>C.I</w:t>
      </w:r>
      <w:r w:rsidRPr="000326B5">
        <w:rPr>
          <w:rFonts w:ascii="Calibri Light" w:hAnsi="Calibri Light" w:cs="Calibri Light"/>
          <w:sz w:val="20"/>
        </w:rPr>
        <w:tab/>
        <w:t xml:space="preserve">To ensure that Contracting Parties have clear understanding of the ways in which the others respond to incidents, </w:t>
      </w:r>
      <w:proofErr w:type="gramStart"/>
      <w:r w:rsidRPr="000326B5">
        <w:rPr>
          <w:rFonts w:ascii="Calibri Light" w:hAnsi="Calibri Light" w:cs="Calibri Light"/>
          <w:sz w:val="20"/>
        </w:rPr>
        <w:t>in order to</w:t>
      </w:r>
      <w:proofErr w:type="gramEnd"/>
      <w:r w:rsidRPr="000326B5">
        <w:rPr>
          <w:rFonts w:ascii="Calibri Light" w:hAnsi="Calibri Light" w:cs="Calibri Light"/>
          <w:sz w:val="20"/>
        </w:rPr>
        <w:t xml:space="preserve"> promote the development of best </w:t>
      </w:r>
      <w:proofErr w:type="gramStart"/>
      <w:r w:rsidRPr="000326B5">
        <w:rPr>
          <w:rFonts w:ascii="Calibri Light" w:hAnsi="Calibri Light" w:cs="Calibri Light"/>
          <w:sz w:val="20"/>
        </w:rPr>
        <w:t>practice;</w:t>
      </w:r>
      <w:proofErr w:type="gramEnd"/>
    </w:p>
    <w:p w14:paraId="4718225D" w14:textId="77777777" w:rsidR="000326B5" w:rsidRPr="000326B5" w:rsidRDefault="000326B5" w:rsidP="000326B5">
      <w:pPr>
        <w:tabs>
          <w:tab w:val="clear" w:pos="357"/>
          <w:tab w:val="left" w:pos="720"/>
        </w:tabs>
        <w:spacing w:line="280" w:lineRule="atLeast"/>
        <w:ind w:left="1454" w:hanging="907"/>
        <w:jc w:val="left"/>
        <w:rPr>
          <w:rFonts w:ascii="Calibri Light" w:hAnsi="Calibri Light" w:cs="Calibri Light"/>
          <w:color w:val="000000"/>
          <w:spacing w:val="-2"/>
          <w:sz w:val="20"/>
        </w:rPr>
      </w:pPr>
      <w:r w:rsidRPr="000326B5">
        <w:rPr>
          <w:rFonts w:ascii="Calibri Light" w:hAnsi="Calibri Light" w:cs="Calibri Light"/>
          <w:color w:val="000000"/>
          <w:spacing w:val="-2"/>
          <w:sz w:val="20"/>
        </w:rPr>
        <w:t>C.II</w:t>
      </w:r>
      <w:r w:rsidRPr="000326B5">
        <w:rPr>
          <w:rFonts w:ascii="Calibri Light" w:hAnsi="Calibri Light" w:cs="Calibri Light"/>
          <w:color w:val="000000"/>
          <w:spacing w:val="-2"/>
          <w:sz w:val="20"/>
        </w:rPr>
        <w:tab/>
        <w:t xml:space="preserve">To maintain and keep up to date common operational approaches to pollution incidents and promote the development of </w:t>
      </w:r>
      <w:r w:rsidRPr="000326B5">
        <w:rPr>
          <w:rFonts w:ascii="Calibri Light" w:hAnsi="Calibri Light" w:cs="Calibri Light"/>
          <w:sz w:val="20"/>
        </w:rPr>
        <w:t xml:space="preserve">and common understanding of appropriate response </w:t>
      </w:r>
      <w:proofErr w:type="gramStart"/>
      <w:r w:rsidRPr="000326B5">
        <w:rPr>
          <w:rFonts w:ascii="Calibri Light" w:hAnsi="Calibri Light" w:cs="Calibri Light"/>
          <w:sz w:val="20"/>
        </w:rPr>
        <w:t>strategies</w:t>
      </w:r>
      <w:r w:rsidRPr="000326B5">
        <w:rPr>
          <w:rFonts w:ascii="Calibri Light" w:hAnsi="Calibri Light" w:cs="Calibri Light"/>
          <w:color w:val="000000"/>
          <w:spacing w:val="-2"/>
          <w:sz w:val="20"/>
        </w:rPr>
        <w:t>;</w:t>
      </w:r>
      <w:proofErr w:type="gramEnd"/>
    </w:p>
    <w:p w14:paraId="03EB117F" w14:textId="77777777" w:rsidR="000326B5" w:rsidRPr="000326B5" w:rsidRDefault="000326B5" w:rsidP="000326B5">
      <w:pPr>
        <w:tabs>
          <w:tab w:val="clear" w:pos="357"/>
          <w:tab w:val="left" w:pos="720"/>
        </w:tabs>
        <w:spacing w:line="280" w:lineRule="atLeast"/>
        <w:ind w:left="1454" w:hanging="907"/>
        <w:jc w:val="left"/>
        <w:rPr>
          <w:rFonts w:ascii="Calibri Light" w:hAnsi="Calibri Light" w:cs="Calibri Light"/>
          <w:color w:val="000000"/>
          <w:spacing w:val="-2"/>
          <w:sz w:val="20"/>
        </w:rPr>
      </w:pPr>
      <w:r w:rsidRPr="000326B5">
        <w:rPr>
          <w:rFonts w:ascii="Calibri Light" w:hAnsi="Calibri Light" w:cs="Calibri Light"/>
          <w:color w:val="000000"/>
          <w:spacing w:val="-2"/>
          <w:sz w:val="20"/>
        </w:rPr>
        <w:t>C.III</w:t>
      </w:r>
      <w:r w:rsidRPr="000326B5">
        <w:rPr>
          <w:rFonts w:ascii="Calibri Light" w:hAnsi="Calibri Light" w:cs="Calibri Light"/>
          <w:color w:val="000000"/>
          <w:spacing w:val="-2"/>
          <w:sz w:val="20"/>
        </w:rPr>
        <w:tab/>
        <w:t xml:space="preserve">To promote coordinated research and development programmes on response technologies, equipment and other operational </w:t>
      </w:r>
      <w:proofErr w:type="gramStart"/>
      <w:r w:rsidRPr="000326B5">
        <w:rPr>
          <w:rFonts w:ascii="Calibri Light" w:hAnsi="Calibri Light" w:cs="Calibri Light"/>
          <w:color w:val="000000"/>
          <w:spacing w:val="-2"/>
          <w:sz w:val="20"/>
        </w:rPr>
        <w:t>means;</w:t>
      </w:r>
      <w:proofErr w:type="gramEnd"/>
    </w:p>
    <w:p w14:paraId="6C0AE217" w14:textId="77777777" w:rsidR="000326B5" w:rsidRPr="000326B5" w:rsidRDefault="000326B5" w:rsidP="000326B5">
      <w:pPr>
        <w:tabs>
          <w:tab w:val="clear" w:pos="357"/>
          <w:tab w:val="left" w:pos="720"/>
        </w:tabs>
        <w:spacing w:after="240" w:line="280" w:lineRule="atLeast"/>
        <w:ind w:left="1440" w:hanging="893"/>
        <w:jc w:val="left"/>
        <w:rPr>
          <w:rFonts w:ascii="Calibri Light" w:hAnsi="Calibri Light" w:cs="Calibri Light"/>
          <w:sz w:val="20"/>
        </w:rPr>
      </w:pPr>
      <w:r w:rsidRPr="000326B5">
        <w:rPr>
          <w:rFonts w:ascii="Calibri Light" w:hAnsi="Calibri Light" w:cs="Calibri Light"/>
          <w:sz w:val="20"/>
        </w:rPr>
        <w:t>C.IV</w:t>
      </w:r>
      <w:r w:rsidRPr="000326B5">
        <w:rPr>
          <w:rFonts w:ascii="Calibri Light" w:hAnsi="Calibri Light" w:cs="Calibri Light"/>
          <w:sz w:val="20"/>
        </w:rPr>
        <w:tab/>
        <w:t xml:space="preserve">To ensure that an adequate balance of resources for response work, based on sub-regional risk-assessments, is held across the </w:t>
      </w:r>
      <w:proofErr w:type="gramStart"/>
      <w:r w:rsidRPr="000326B5">
        <w:rPr>
          <w:rFonts w:ascii="Calibri Light" w:hAnsi="Calibri Light" w:cs="Calibri Light"/>
          <w:sz w:val="20"/>
        </w:rPr>
        <w:t>North East</w:t>
      </w:r>
      <w:proofErr w:type="gramEnd"/>
      <w:r w:rsidRPr="000326B5">
        <w:rPr>
          <w:rFonts w:ascii="Calibri Light" w:hAnsi="Calibri Light" w:cs="Calibri Light"/>
          <w:sz w:val="20"/>
        </w:rPr>
        <w:t xml:space="preserve"> Atlantic area.</w:t>
      </w:r>
    </w:p>
    <w:p w14:paraId="78908BF5" w14:textId="77777777" w:rsidR="000326B5" w:rsidRPr="000326B5" w:rsidRDefault="000326B5" w:rsidP="000326B5">
      <w:pPr>
        <w:keepNext/>
        <w:tabs>
          <w:tab w:val="clear" w:pos="357"/>
          <w:tab w:val="left" w:pos="720"/>
        </w:tabs>
        <w:spacing w:after="240" w:line="280" w:lineRule="atLeast"/>
        <w:jc w:val="left"/>
        <w:rPr>
          <w:rFonts w:ascii="Calibri Light" w:hAnsi="Calibri Light" w:cs="Calibri Light"/>
          <w:b/>
          <w:sz w:val="20"/>
          <w:u w:val="single"/>
        </w:rPr>
      </w:pPr>
      <w:r w:rsidRPr="000326B5">
        <w:rPr>
          <w:rFonts w:ascii="Calibri Light" w:hAnsi="Calibri Light" w:cs="Calibri Light"/>
          <w:b/>
          <w:sz w:val="20"/>
          <w:u w:val="single"/>
        </w:rPr>
        <w:t>Actions</w:t>
      </w:r>
    </w:p>
    <w:p w14:paraId="5C561CBB" w14:textId="77777777" w:rsidR="000326B5" w:rsidRPr="000326B5" w:rsidRDefault="000326B5" w:rsidP="000326B5">
      <w:pPr>
        <w:tabs>
          <w:tab w:val="clear" w:pos="357"/>
          <w:tab w:val="left" w:pos="720"/>
        </w:tabs>
        <w:spacing w:line="280" w:lineRule="atLeast"/>
        <w:jc w:val="left"/>
        <w:rPr>
          <w:rFonts w:ascii="Calibri Light" w:hAnsi="Calibri Light" w:cs="Calibri Light"/>
          <w:sz w:val="20"/>
        </w:rPr>
      </w:pPr>
      <w:r w:rsidRPr="000326B5">
        <w:rPr>
          <w:rFonts w:ascii="Calibri Light" w:hAnsi="Calibri Light" w:cs="Calibri Light"/>
          <w:sz w:val="20"/>
        </w:rPr>
        <w:t>To achieve the Vision, Strategic Aims and Operational Objectives, the following Bonn Agreement Strategy Action Plan (BASAP) sets out specific measurable actions and realistic targets for the period 2019-2025, to guide and focus the work of Contracting Parties. The BASAP acknowledges the need to maintain well established systems and to continue work in hand necessary to continue the operational nature of the Agreement. At the same time opportunities to enhance these efforts and to develop new directions are articulated.</w:t>
      </w:r>
    </w:p>
    <w:p w14:paraId="6E990CF8" w14:textId="77777777" w:rsidR="000326B5" w:rsidRPr="000326B5" w:rsidRDefault="000326B5" w:rsidP="000326B5">
      <w:pPr>
        <w:tabs>
          <w:tab w:val="clear" w:pos="357"/>
          <w:tab w:val="left" w:pos="720"/>
        </w:tabs>
        <w:spacing w:after="240" w:line="280" w:lineRule="atLeast"/>
        <w:jc w:val="left"/>
        <w:rPr>
          <w:rFonts w:ascii="Calibri Light" w:hAnsi="Calibri Light" w:cs="Calibri Light"/>
          <w:sz w:val="20"/>
        </w:rPr>
      </w:pPr>
      <w:r w:rsidRPr="000326B5">
        <w:rPr>
          <w:rFonts w:ascii="Calibri Light" w:hAnsi="Calibri Light" w:cs="Calibri Light"/>
          <w:sz w:val="20"/>
        </w:rPr>
        <w:t>The Bonn Agreement has agreed the following actions:</w:t>
      </w:r>
    </w:p>
    <w:p w14:paraId="00937A89" w14:textId="77777777" w:rsidR="000326B5" w:rsidRPr="000326B5" w:rsidRDefault="000326B5" w:rsidP="000326B5">
      <w:pPr>
        <w:tabs>
          <w:tab w:val="clear" w:pos="357"/>
          <w:tab w:val="left" w:pos="720"/>
        </w:tabs>
        <w:spacing w:line="280" w:lineRule="atLeast"/>
        <w:jc w:val="left"/>
        <w:rPr>
          <w:rFonts w:ascii="Calibri Light" w:hAnsi="Calibri Light" w:cs="Calibri Light"/>
          <w:sz w:val="20"/>
          <w:u w:val="single"/>
        </w:rPr>
      </w:pPr>
      <w:r w:rsidRPr="000326B5">
        <w:rPr>
          <w:rFonts w:ascii="Calibri Light" w:hAnsi="Calibri Light" w:cs="Calibri Light"/>
          <w:sz w:val="20"/>
          <w:u w:val="single"/>
        </w:rPr>
        <w:t>Actions in relation to Strategic Aim A (prevention):</w:t>
      </w:r>
    </w:p>
    <w:p w14:paraId="34D097BC" w14:textId="77777777" w:rsidR="000326B5" w:rsidRPr="000326B5" w:rsidRDefault="000326B5" w:rsidP="000326B5">
      <w:pPr>
        <w:tabs>
          <w:tab w:val="clear" w:pos="357"/>
          <w:tab w:val="left" w:pos="720"/>
        </w:tabs>
        <w:spacing w:line="280" w:lineRule="atLeast"/>
        <w:ind w:left="1454" w:hanging="907"/>
        <w:jc w:val="left"/>
        <w:rPr>
          <w:rFonts w:ascii="Calibri Light" w:hAnsi="Calibri Light" w:cs="Calibri Light"/>
          <w:sz w:val="20"/>
          <w:highlight w:val="yellow"/>
        </w:rPr>
      </w:pPr>
      <w:r w:rsidRPr="000326B5">
        <w:rPr>
          <w:rFonts w:ascii="Calibri Light" w:hAnsi="Calibri Light" w:cs="Calibri Light"/>
          <w:sz w:val="20"/>
        </w:rPr>
        <w:t>A.1</w:t>
      </w:r>
      <w:r w:rsidRPr="000326B5">
        <w:rPr>
          <w:rFonts w:ascii="Calibri Light" w:hAnsi="Calibri Light" w:cs="Calibri Light"/>
          <w:sz w:val="20"/>
        </w:rPr>
        <w:tab/>
        <w:t xml:space="preserve">Execute aerial and satellite surveillance operations, including national flights, regional flights, Tour d’Horizon flights and CEPCO/SuperCEPCO flights, to detect, investigate, gather evidence and monitor spillage of oil and other harmful </w:t>
      </w:r>
      <w:proofErr w:type="gramStart"/>
      <w:r w:rsidRPr="000326B5">
        <w:rPr>
          <w:rFonts w:ascii="Calibri Light" w:hAnsi="Calibri Light" w:cs="Calibri Light"/>
          <w:sz w:val="20"/>
        </w:rPr>
        <w:t>substances;</w:t>
      </w:r>
      <w:proofErr w:type="gramEnd"/>
    </w:p>
    <w:p w14:paraId="4159E974" w14:textId="77777777" w:rsidR="000326B5" w:rsidRPr="000326B5" w:rsidRDefault="000326B5" w:rsidP="000326B5">
      <w:pPr>
        <w:tabs>
          <w:tab w:val="clear" w:pos="357"/>
          <w:tab w:val="left" w:pos="720"/>
        </w:tabs>
        <w:spacing w:line="280" w:lineRule="atLeast"/>
        <w:ind w:left="1454" w:hanging="907"/>
        <w:jc w:val="left"/>
        <w:rPr>
          <w:rFonts w:ascii="Calibri Light" w:hAnsi="Calibri Light" w:cs="Calibri Light"/>
          <w:sz w:val="20"/>
        </w:rPr>
      </w:pPr>
      <w:r w:rsidRPr="000326B5">
        <w:rPr>
          <w:rFonts w:ascii="Calibri Light" w:hAnsi="Calibri Light" w:cs="Calibri Light"/>
          <w:sz w:val="20"/>
        </w:rPr>
        <w:t>A.2</w:t>
      </w:r>
      <w:r w:rsidRPr="000326B5">
        <w:rPr>
          <w:rFonts w:ascii="Calibri Light" w:hAnsi="Calibri Light" w:cs="Calibri Light"/>
          <w:sz w:val="20"/>
        </w:rPr>
        <w:tab/>
        <w:t xml:space="preserve">Maintain an efficient Standard Reporting System and to use the system to report detected pollution to the Bonn Agreement as well as to the Commission in the framework of Directive 2005/35/EC on Ship Source Pollution and to </w:t>
      </w:r>
      <w:proofErr w:type="gramStart"/>
      <w:r w:rsidRPr="000326B5">
        <w:rPr>
          <w:rFonts w:ascii="Calibri Light" w:hAnsi="Calibri Light" w:cs="Calibri Light"/>
          <w:sz w:val="20"/>
        </w:rPr>
        <w:t>IMO;</w:t>
      </w:r>
      <w:proofErr w:type="gramEnd"/>
    </w:p>
    <w:p w14:paraId="315DEA89" w14:textId="77777777" w:rsidR="000326B5" w:rsidRPr="000326B5" w:rsidRDefault="000326B5" w:rsidP="000326B5">
      <w:pPr>
        <w:tabs>
          <w:tab w:val="clear" w:pos="357"/>
          <w:tab w:val="left" w:pos="567"/>
        </w:tabs>
        <w:spacing w:after="140" w:line="280" w:lineRule="atLeast"/>
        <w:ind w:left="1440" w:hanging="1440"/>
        <w:rPr>
          <w:rFonts w:ascii="Calibri Light" w:hAnsi="Calibri Light" w:cs="Calibri Light"/>
          <w:sz w:val="20"/>
        </w:rPr>
      </w:pPr>
      <w:r w:rsidRPr="000326B5">
        <w:rPr>
          <w:rFonts w:ascii="Calibri Light" w:hAnsi="Calibri Light" w:cs="Calibri Light"/>
          <w:sz w:val="20"/>
        </w:rPr>
        <w:tab/>
        <w:t>A.3</w:t>
      </w:r>
      <w:r w:rsidRPr="000326B5">
        <w:rPr>
          <w:rFonts w:ascii="Calibri Light" w:hAnsi="Calibri Light" w:cs="Calibri Light"/>
          <w:sz w:val="20"/>
        </w:rPr>
        <w:tab/>
        <w:t xml:space="preserve">In cooperation with the European Maritime Safety Agency make optimum use of satellite imagery and responding to the latest developments </w:t>
      </w:r>
      <w:proofErr w:type="gramStart"/>
      <w:r w:rsidRPr="000326B5">
        <w:rPr>
          <w:rFonts w:ascii="Calibri Light" w:hAnsi="Calibri Light" w:cs="Calibri Light"/>
          <w:sz w:val="20"/>
        </w:rPr>
        <w:t>in the area of</w:t>
      </w:r>
      <w:proofErr w:type="gramEnd"/>
      <w:r w:rsidRPr="000326B5">
        <w:rPr>
          <w:rFonts w:ascii="Calibri Light" w:hAnsi="Calibri Light" w:cs="Calibri Light"/>
          <w:sz w:val="20"/>
        </w:rPr>
        <w:t xml:space="preserve"> </w:t>
      </w:r>
      <w:proofErr w:type="gramStart"/>
      <w:r w:rsidRPr="000326B5">
        <w:rPr>
          <w:rFonts w:ascii="Calibri Light" w:hAnsi="Calibri Light" w:cs="Calibri Light"/>
          <w:sz w:val="20"/>
        </w:rPr>
        <w:t>High Altitude</w:t>
      </w:r>
      <w:proofErr w:type="gramEnd"/>
      <w:r w:rsidRPr="000326B5">
        <w:rPr>
          <w:rFonts w:ascii="Calibri Light" w:hAnsi="Calibri Light" w:cs="Calibri Light"/>
          <w:sz w:val="20"/>
        </w:rPr>
        <w:t xml:space="preserve"> Pseudo Satellites (HAPS) and Remotely Piloted Aircraft Systems (RPAS) made available to Greater North Sea states and establish a harmonised system throughout the Greater North Sea to improve detection of pollution </w:t>
      </w:r>
      <w:proofErr w:type="gramStart"/>
      <w:r w:rsidRPr="000326B5">
        <w:rPr>
          <w:rFonts w:ascii="Calibri Light" w:hAnsi="Calibri Light" w:cs="Calibri Light"/>
          <w:sz w:val="20"/>
        </w:rPr>
        <w:t>incidents;</w:t>
      </w:r>
      <w:proofErr w:type="gramEnd"/>
    </w:p>
    <w:p w14:paraId="7AFB4E67" w14:textId="77777777" w:rsidR="000326B5" w:rsidRPr="000326B5" w:rsidRDefault="000326B5" w:rsidP="000326B5">
      <w:pPr>
        <w:tabs>
          <w:tab w:val="clear" w:pos="357"/>
          <w:tab w:val="left" w:pos="720"/>
        </w:tabs>
        <w:spacing w:line="260" w:lineRule="exact"/>
        <w:ind w:left="1440" w:hanging="900"/>
        <w:jc w:val="left"/>
        <w:rPr>
          <w:rFonts w:ascii="Calibri Light" w:hAnsi="Calibri Light" w:cs="Calibri Light"/>
          <w:sz w:val="20"/>
        </w:rPr>
      </w:pPr>
      <w:r w:rsidRPr="000326B5">
        <w:rPr>
          <w:rFonts w:ascii="Calibri Light" w:hAnsi="Calibri Light" w:cs="Calibri Light"/>
          <w:sz w:val="20"/>
        </w:rPr>
        <w:t>A.4</w:t>
      </w:r>
      <w:r w:rsidRPr="000326B5">
        <w:rPr>
          <w:rFonts w:ascii="Calibri Light" w:hAnsi="Calibri Light" w:cs="Calibri Light"/>
          <w:sz w:val="20"/>
        </w:rPr>
        <w:tab/>
        <w:t xml:space="preserve">Strengthen cooperation on the detection of offences in relation to MARPOL Annex V and enforcement: </w:t>
      </w:r>
    </w:p>
    <w:p w14:paraId="15FBADF2" w14:textId="77777777" w:rsidR="000326B5" w:rsidRPr="000326B5" w:rsidRDefault="000326B5" w:rsidP="000326B5">
      <w:pPr>
        <w:tabs>
          <w:tab w:val="clear" w:pos="357"/>
          <w:tab w:val="left" w:pos="720"/>
        </w:tabs>
        <w:spacing w:line="260" w:lineRule="exact"/>
        <w:ind w:left="1454" w:hanging="907"/>
        <w:jc w:val="left"/>
        <w:rPr>
          <w:rFonts w:ascii="Calibri Light" w:hAnsi="Calibri Light" w:cs="Calibri Light"/>
          <w:sz w:val="20"/>
        </w:rPr>
      </w:pPr>
      <w:r w:rsidRPr="000326B5">
        <w:rPr>
          <w:rFonts w:ascii="Calibri Light" w:hAnsi="Calibri Light" w:cs="Calibri Light"/>
          <w:sz w:val="20"/>
        </w:rPr>
        <w:t>A.5</w:t>
      </w:r>
      <w:r w:rsidRPr="000326B5">
        <w:rPr>
          <w:rFonts w:ascii="Calibri Light" w:hAnsi="Calibri Light" w:cs="Calibri Light"/>
          <w:sz w:val="20"/>
        </w:rPr>
        <w:tab/>
        <w:t>Strengthen cooperation on the detection of offences in relation to MARPOL Annex VI and enforcement, including through the existing port state control enforcement regime, as well as applying advanced targeting tools for compliance monitoring and sharing the outcome of enforcement actions in common information systems (e.g. Thetis-EU</w:t>
      </w:r>
      <w:proofErr w:type="gramStart"/>
      <w:r w:rsidRPr="000326B5">
        <w:rPr>
          <w:rFonts w:ascii="Calibri Light" w:hAnsi="Calibri Light" w:cs="Calibri Light"/>
          <w:sz w:val="20"/>
        </w:rPr>
        <w:t>);</w:t>
      </w:r>
      <w:proofErr w:type="gramEnd"/>
    </w:p>
    <w:p w14:paraId="734CDF5F" w14:textId="77777777" w:rsidR="000326B5" w:rsidRPr="000326B5" w:rsidRDefault="000326B5" w:rsidP="000326B5">
      <w:pPr>
        <w:tabs>
          <w:tab w:val="clear" w:pos="357"/>
          <w:tab w:val="left" w:pos="567"/>
        </w:tabs>
        <w:spacing w:after="140" w:line="280" w:lineRule="atLeast"/>
        <w:ind w:left="1440" w:hanging="1440"/>
        <w:rPr>
          <w:rFonts w:ascii="Calibri Light" w:hAnsi="Calibri Light" w:cs="Calibri Light"/>
          <w:sz w:val="20"/>
        </w:rPr>
      </w:pPr>
      <w:r w:rsidRPr="000326B5">
        <w:rPr>
          <w:rFonts w:ascii="Calibri Light" w:hAnsi="Calibri Light" w:cs="Calibri Light"/>
          <w:sz w:val="20"/>
        </w:rPr>
        <w:tab/>
        <w:t>A.6</w:t>
      </w:r>
      <w:r w:rsidRPr="000326B5">
        <w:rPr>
          <w:rFonts w:ascii="Calibri Light" w:hAnsi="Calibri Light" w:cs="Calibri Light"/>
          <w:sz w:val="20"/>
        </w:rPr>
        <w:tab/>
        <w:t xml:space="preserve">Maintain and keep up to date the Aerial Operations Handbook and BAOAC </w:t>
      </w:r>
      <w:proofErr w:type="gramStart"/>
      <w:r w:rsidRPr="000326B5">
        <w:rPr>
          <w:rFonts w:ascii="Calibri Light" w:hAnsi="Calibri Light" w:cs="Calibri Light"/>
          <w:sz w:val="20"/>
        </w:rPr>
        <w:t>Atlas;</w:t>
      </w:r>
      <w:proofErr w:type="gramEnd"/>
    </w:p>
    <w:p w14:paraId="67224422" w14:textId="77777777" w:rsidR="000326B5" w:rsidRPr="000326B5" w:rsidRDefault="000326B5" w:rsidP="000326B5">
      <w:pPr>
        <w:tabs>
          <w:tab w:val="clear" w:pos="357"/>
          <w:tab w:val="left" w:pos="720"/>
        </w:tabs>
        <w:spacing w:line="280" w:lineRule="atLeast"/>
        <w:ind w:left="1454" w:hanging="907"/>
        <w:jc w:val="left"/>
        <w:rPr>
          <w:rFonts w:ascii="Calibri Light" w:hAnsi="Calibri Light" w:cs="Calibri Light"/>
          <w:sz w:val="20"/>
        </w:rPr>
      </w:pPr>
      <w:r w:rsidRPr="000326B5">
        <w:rPr>
          <w:rFonts w:ascii="Calibri Light" w:hAnsi="Calibri Light" w:cs="Calibri Light"/>
          <w:sz w:val="20"/>
        </w:rPr>
        <w:t>A.7</w:t>
      </w:r>
      <w:r w:rsidRPr="000326B5">
        <w:rPr>
          <w:rFonts w:ascii="Calibri Light" w:hAnsi="Calibri Light" w:cs="Calibri Light"/>
          <w:sz w:val="20"/>
        </w:rPr>
        <w:tab/>
        <w:t xml:space="preserve">In cooperation with the North Sea Network of Investigators and Prosecutors (NSN) maintain and keep up to date the North Sea Manual on Maritime Oil Pollution </w:t>
      </w:r>
      <w:proofErr w:type="gramStart"/>
      <w:r w:rsidRPr="000326B5">
        <w:rPr>
          <w:rFonts w:ascii="Calibri Light" w:hAnsi="Calibri Light" w:cs="Calibri Light"/>
          <w:sz w:val="20"/>
        </w:rPr>
        <w:t>Offences;</w:t>
      </w:r>
      <w:proofErr w:type="gramEnd"/>
    </w:p>
    <w:p w14:paraId="289CB9AC" w14:textId="77777777" w:rsidR="000326B5" w:rsidRPr="000326B5" w:rsidRDefault="000326B5" w:rsidP="000326B5">
      <w:pPr>
        <w:tabs>
          <w:tab w:val="clear" w:pos="357"/>
          <w:tab w:val="left" w:pos="720"/>
        </w:tabs>
        <w:spacing w:line="280" w:lineRule="atLeast"/>
        <w:ind w:left="1454" w:hanging="907"/>
        <w:jc w:val="left"/>
        <w:rPr>
          <w:rFonts w:ascii="Calibri Light" w:hAnsi="Calibri Light" w:cs="Calibri Light"/>
          <w:sz w:val="20"/>
        </w:rPr>
      </w:pPr>
      <w:r w:rsidRPr="000326B5">
        <w:rPr>
          <w:rFonts w:ascii="Calibri Light" w:hAnsi="Calibri Light" w:cs="Calibri Light"/>
          <w:sz w:val="20"/>
        </w:rPr>
        <w:t>A.8</w:t>
      </w:r>
      <w:r w:rsidRPr="000326B5">
        <w:rPr>
          <w:rFonts w:ascii="Calibri Light" w:hAnsi="Calibri Light" w:cs="Calibri Light"/>
          <w:sz w:val="20"/>
        </w:rPr>
        <w:tab/>
        <w:t xml:space="preserve">Cooperate through OSINET on oil spill identification, including inter-calibration exercises of laboratories and further development of a common oil spill identification </w:t>
      </w:r>
      <w:proofErr w:type="gramStart"/>
      <w:r w:rsidRPr="000326B5">
        <w:rPr>
          <w:rFonts w:ascii="Calibri Light" w:hAnsi="Calibri Light" w:cs="Calibri Light"/>
          <w:sz w:val="20"/>
        </w:rPr>
        <w:t>methods;</w:t>
      </w:r>
      <w:proofErr w:type="gramEnd"/>
    </w:p>
    <w:p w14:paraId="1F8BD5DA" w14:textId="77777777" w:rsidR="000326B5" w:rsidRPr="000326B5" w:rsidRDefault="000326B5" w:rsidP="000326B5">
      <w:pPr>
        <w:tabs>
          <w:tab w:val="clear" w:pos="357"/>
          <w:tab w:val="left" w:pos="720"/>
        </w:tabs>
        <w:spacing w:after="40" w:line="260" w:lineRule="exact"/>
        <w:ind w:left="1440" w:hanging="900"/>
        <w:jc w:val="left"/>
        <w:rPr>
          <w:rFonts w:ascii="Calibri Light" w:hAnsi="Calibri Light" w:cs="Calibri Light"/>
          <w:sz w:val="20"/>
        </w:rPr>
      </w:pPr>
      <w:r w:rsidRPr="000326B5">
        <w:rPr>
          <w:rFonts w:ascii="Calibri Light" w:hAnsi="Calibri Light" w:cs="Calibri Light"/>
          <w:sz w:val="20"/>
        </w:rPr>
        <w:t>A.9</w:t>
      </w:r>
      <w:r w:rsidRPr="000326B5">
        <w:rPr>
          <w:rFonts w:ascii="Calibri Light" w:hAnsi="Calibri Light" w:cs="Calibri Light"/>
          <w:sz w:val="20"/>
        </w:rPr>
        <w:tab/>
        <w:t xml:space="preserve">Strengthen cooperation with investigators and prosecutors: </w:t>
      </w:r>
    </w:p>
    <w:p w14:paraId="5297C1EB" w14:textId="77777777" w:rsidR="000326B5" w:rsidRPr="000326B5" w:rsidRDefault="000326B5" w:rsidP="000326B5">
      <w:pPr>
        <w:tabs>
          <w:tab w:val="clear" w:pos="357"/>
          <w:tab w:val="left" w:pos="720"/>
        </w:tabs>
        <w:spacing w:after="40" w:line="260" w:lineRule="exact"/>
        <w:ind w:left="2160" w:hanging="720"/>
        <w:jc w:val="left"/>
        <w:rPr>
          <w:rFonts w:ascii="Calibri Light" w:hAnsi="Calibri Light" w:cs="Calibri Light"/>
          <w:sz w:val="20"/>
        </w:rPr>
      </w:pPr>
      <w:r w:rsidRPr="000326B5">
        <w:rPr>
          <w:rFonts w:ascii="Calibri Light" w:hAnsi="Calibri Light" w:cs="Calibri Light"/>
          <w:sz w:val="20"/>
        </w:rPr>
        <w:t>a.</w:t>
      </w:r>
      <w:r w:rsidRPr="000326B5">
        <w:rPr>
          <w:rFonts w:ascii="Calibri Light" w:hAnsi="Calibri Light" w:cs="Calibri Light"/>
          <w:sz w:val="20"/>
        </w:rPr>
        <w:tab/>
        <w:t xml:space="preserve">by 2022 - in cooperation with the NSN identify options for giving publicity to convictions for maritime pollution </w:t>
      </w:r>
      <w:proofErr w:type="gramStart"/>
      <w:r w:rsidRPr="000326B5">
        <w:rPr>
          <w:rFonts w:ascii="Calibri Light" w:hAnsi="Calibri Light" w:cs="Calibri Light"/>
          <w:sz w:val="20"/>
        </w:rPr>
        <w:t>offences;</w:t>
      </w:r>
      <w:proofErr w:type="gramEnd"/>
    </w:p>
    <w:p w14:paraId="22F73747" w14:textId="77777777" w:rsidR="000326B5" w:rsidRPr="000326B5" w:rsidRDefault="000326B5" w:rsidP="000326B5">
      <w:pPr>
        <w:tabs>
          <w:tab w:val="clear" w:pos="357"/>
          <w:tab w:val="left" w:pos="720"/>
        </w:tabs>
        <w:spacing w:after="40" w:line="260" w:lineRule="exact"/>
        <w:ind w:left="2160" w:hanging="720"/>
        <w:jc w:val="left"/>
        <w:rPr>
          <w:rFonts w:ascii="Calibri Light" w:hAnsi="Calibri Light" w:cs="Calibri Light"/>
          <w:sz w:val="20"/>
        </w:rPr>
      </w:pPr>
      <w:r w:rsidRPr="000326B5">
        <w:rPr>
          <w:rFonts w:ascii="Calibri Light" w:hAnsi="Calibri Light" w:cs="Calibri Light"/>
          <w:sz w:val="20"/>
        </w:rPr>
        <w:lastRenderedPageBreak/>
        <w:t>b.</w:t>
      </w:r>
      <w:r w:rsidRPr="000326B5">
        <w:rPr>
          <w:rFonts w:ascii="Calibri Light" w:hAnsi="Calibri Light" w:cs="Calibri Light"/>
          <w:sz w:val="20"/>
        </w:rPr>
        <w:tab/>
        <w:t>by 2025 - in cooperation with the NSN establish procedures whereby environmental track-records of relevant shipping companies and ship-operating companies can be made available to the public.</w:t>
      </w:r>
    </w:p>
    <w:p w14:paraId="01106FA5" w14:textId="77777777" w:rsidR="000326B5" w:rsidRPr="000326B5" w:rsidRDefault="000326B5" w:rsidP="000326B5">
      <w:pPr>
        <w:tabs>
          <w:tab w:val="clear" w:pos="357"/>
          <w:tab w:val="left" w:pos="720"/>
        </w:tabs>
        <w:spacing w:after="360" w:line="280" w:lineRule="atLeast"/>
        <w:ind w:left="1454" w:hanging="907"/>
        <w:jc w:val="left"/>
        <w:rPr>
          <w:rFonts w:ascii="Calibri Light" w:hAnsi="Calibri Light" w:cs="Calibri Light"/>
          <w:sz w:val="20"/>
        </w:rPr>
      </w:pPr>
      <w:r w:rsidRPr="000326B5">
        <w:rPr>
          <w:rFonts w:ascii="Calibri Light" w:hAnsi="Calibri Light" w:cs="Calibri Light"/>
          <w:sz w:val="20"/>
        </w:rPr>
        <w:t>A.10</w:t>
      </w:r>
      <w:r w:rsidRPr="000326B5">
        <w:rPr>
          <w:rFonts w:ascii="Calibri Light" w:hAnsi="Calibri Light" w:cs="Calibri Light"/>
          <w:sz w:val="20"/>
        </w:rPr>
        <w:tab/>
        <w:t xml:space="preserve">Liaise with IMO to determine how the Bonn Agreement can further contribute to compliance of with MARPOL Annex VI </w:t>
      </w:r>
      <w:proofErr w:type="gramStart"/>
      <w:r w:rsidRPr="000326B5">
        <w:rPr>
          <w:rFonts w:ascii="Calibri Light" w:hAnsi="Calibri Light" w:cs="Calibri Light"/>
          <w:sz w:val="20"/>
        </w:rPr>
        <w:t>taking into account</w:t>
      </w:r>
      <w:proofErr w:type="gramEnd"/>
      <w:r w:rsidRPr="000326B5">
        <w:rPr>
          <w:rFonts w:ascii="Calibri Light" w:hAnsi="Calibri Light" w:cs="Calibri Light"/>
          <w:sz w:val="20"/>
        </w:rPr>
        <w:t xml:space="preserve"> the latest IMO developments regarding the implementation of the 2020 global sulphur cap (e.g. reinforced port state control regime, as well as the carriage ban for combustion purposes of fuels with sulphur content above 0.50%</w:t>
      </w:r>
      <w:proofErr w:type="gramStart"/>
      <w:r w:rsidRPr="000326B5">
        <w:rPr>
          <w:rFonts w:ascii="Calibri Light" w:hAnsi="Calibri Light" w:cs="Calibri Light"/>
          <w:sz w:val="20"/>
        </w:rPr>
        <w:t>);</w:t>
      </w:r>
      <w:proofErr w:type="gramEnd"/>
    </w:p>
    <w:p w14:paraId="6E97C00A" w14:textId="77777777" w:rsidR="000326B5" w:rsidRPr="000326B5" w:rsidRDefault="000326B5" w:rsidP="000326B5">
      <w:pPr>
        <w:tabs>
          <w:tab w:val="clear" w:pos="357"/>
          <w:tab w:val="left" w:pos="720"/>
        </w:tabs>
        <w:spacing w:after="360" w:line="280" w:lineRule="atLeast"/>
        <w:ind w:left="1454" w:hanging="907"/>
        <w:jc w:val="left"/>
        <w:rPr>
          <w:rFonts w:ascii="Calibri Light" w:hAnsi="Calibri Light" w:cs="Calibri Light"/>
          <w:sz w:val="20"/>
        </w:rPr>
      </w:pPr>
      <w:r w:rsidRPr="000326B5">
        <w:rPr>
          <w:rFonts w:ascii="Calibri Light" w:hAnsi="Calibri Light" w:cs="Calibri Light"/>
          <w:sz w:val="20"/>
        </w:rPr>
        <w:t>A.11</w:t>
      </w:r>
      <w:r w:rsidRPr="000326B5">
        <w:rPr>
          <w:rFonts w:ascii="Calibri Light" w:hAnsi="Calibri Light" w:cs="Calibri Light"/>
          <w:sz w:val="20"/>
        </w:rPr>
        <w:tab/>
        <w:t>Maintain and keep up to date the Bonn Agreement website and dissemination of electronic publications (i.e. manuals, handbooks and reports</w:t>
      </w:r>
      <w:proofErr w:type="gramStart"/>
      <w:r w:rsidRPr="000326B5">
        <w:rPr>
          <w:rFonts w:ascii="Calibri Light" w:hAnsi="Calibri Light" w:cs="Calibri Light"/>
          <w:sz w:val="20"/>
        </w:rPr>
        <w:t>);</w:t>
      </w:r>
      <w:proofErr w:type="gramEnd"/>
    </w:p>
    <w:p w14:paraId="4EAF3B31" w14:textId="77777777" w:rsidR="000326B5" w:rsidRPr="000326B5" w:rsidRDefault="000326B5" w:rsidP="000326B5">
      <w:pPr>
        <w:tabs>
          <w:tab w:val="clear" w:pos="357"/>
          <w:tab w:val="left" w:pos="720"/>
        </w:tabs>
        <w:spacing w:line="280" w:lineRule="atLeast"/>
        <w:ind w:left="1454" w:hanging="907"/>
        <w:jc w:val="left"/>
        <w:rPr>
          <w:rFonts w:ascii="Calibri Light" w:hAnsi="Calibri Light" w:cs="Calibri Light"/>
          <w:sz w:val="20"/>
        </w:rPr>
      </w:pPr>
      <w:r w:rsidRPr="000326B5">
        <w:rPr>
          <w:rFonts w:ascii="Calibri Light" w:hAnsi="Calibri Light" w:cs="Calibri Light"/>
          <w:sz w:val="20"/>
        </w:rPr>
        <w:t>A.12</w:t>
      </w:r>
      <w:r w:rsidRPr="000326B5">
        <w:rPr>
          <w:rFonts w:ascii="Calibri Light" w:hAnsi="Calibri Light" w:cs="Calibri Light"/>
          <w:sz w:val="20"/>
        </w:rPr>
        <w:tab/>
        <w:t>Support/promote recommendations on preventive measures of the BE -AWARE projects.</w:t>
      </w:r>
    </w:p>
    <w:p w14:paraId="337E9A0C" w14:textId="77777777" w:rsidR="000326B5" w:rsidRPr="000326B5" w:rsidRDefault="000326B5" w:rsidP="000326B5">
      <w:pPr>
        <w:tabs>
          <w:tab w:val="clear" w:pos="357"/>
          <w:tab w:val="left" w:pos="720"/>
        </w:tabs>
        <w:spacing w:line="280" w:lineRule="atLeast"/>
        <w:ind w:left="1454" w:hanging="907"/>
        <w:jc w:val="left"/>
        <w:rPr>
          <w:rFonts w:ascii="Calibri Light" w:hAnsi="Calibri Light" w:cs="Calibri Light"/>
          <w:sz w:val="20"/>
        </w:rPr>
      </w:pPr>
    </w:p>
    <w:p w14:paraId="1AE890A2" w14:textId="77777777" w:rsidR="000326B5" w:rsidRPr="000326B5" w:rsidRDefault="000326B5" w:rsidP="000326B5">
      <w:pPr>
        <w:tabs>
          <w:tab w:val="clear" w:pos="357"/>
          <w:tab w:val="left" w:pos="720"/>
        </w:tabs>
        <w:spacing w:after="240" w:line="280" w:lineRule="atLeast"/>
        <w:jc w:val="left"/>
        <w:rPr>
          <w:rFonts w:ascii="Calibri Light" w:hAnsi="Calibri Light" w:cs="Calibri Light"/>
          <w:sz w:val="20"/>
          <w:u w:val="single"/>
        </w:rPr>
      </w:pPr>
      <w:r w:rsidRPr="000326B5">
        <w:rPr>
          <w:rFonts w:ascii="Calibri Light" w:hAnsi="Calibri Light" w:cs="Calibri Light"/>
          <w:sz w:val="20"/>
          <w:u w:val="single"/>
        </w:rPr>
        <w:t>Actions in relation to Strategic Aim B (preparedness):</w:t>
      </w:r>
    </w:p>
    <w:p w14:paraId="67015B42" w14:textId="77777777" w:rsidR="000326B5" w:rsidRPr="000326B5" w:rsidRDefault="000326B5" w:rsidP="000326B5">
      <w:pPr>
        <w:tabs>
          <w:tab w:val="clear" w:pos="357"/>
          <w:tab w:val="left" w:pos="720"/>
        </w:tabs>
        <w:spacing w:line="280" w:lineRule="atLeast"/>
        <w:ind w:left="1454" w:hanging="907"/>
        <w:jc w:val="left"/>
        <w:rPr>
          <w:rFonts w:ascii="Calibri Light" w:hAnsi="Calibri Light" w:cs="Calibri Light"/>
          <w:sz w:val="20"/>
        </w:rPr>
      </w:pPr>
      <w:r w:rsidRPr="000326B5">
        <w:rPr>
          <w:rFonts w:ascii="Calibri Light" w:hAnsi="Calibri Light" w:cs="Calibri Light"/>
          <w:sz w:val="20"/>
        </w:rPr>
        <w:t>B.1</w:t>
      </w:r>
      <w:r w:rsidRPr="000326B5">
        <w:rPr>
          <w:rFonts w:ascii="Calibri Light" w:hAnsi="Calibri Light" w:cs="Calibri Light"/>
          <w:sz w:val="20"/>
        </w:rPr>
        <w:tab/>
        <w:t xml:space="preserve">Maintain and update the Chapters of the Bonn Agreement Counter Pollution Manual to make it applicable to </w:t>
      </w:r>
      <w:proofErr w:type="gramStart"/>
      <w:r w:rsidRPr="000326B5">
        <w:rPr>
          <w:rFonts w:ascii="Calibri Light" w:hAnsi="Calibri Light" w:cs="Calibri Light"/>
          <w:sz w:val="20"/>
        </w:rPr>
        <w:t>needs;</w:t>
      </w:r>
      <w:proofErr w:type="gramEnd"/>
    </w:p>
    <w:p w14:paraId="3A16ECF6" w14:textId="77777777" w:rsidR="000326B5" w:rsidRPr="000326B5" w:rsidRDefault="000326B5" w:rsidP="000326B5">
      <w:pPr>
        <w:tabs>
          <w:tab w:val="clear" w:pos="357"/>
          <w:tab w:val="left" w:pos="720"/>
        </w:tabs>
        <w:spacing w:line="280" w:lineRule="atLeast"/>
        <w:ind w:left="1440" w:hanging="907"/>
        <w:jc w:val="left"/>
        <w:rPr>
          <w:rFonts w:ascii="Calibri Light" w:hAnsi="Calibri Light" w:cs="Calibri Light"/>
          <w:sz w:val="20"/>
        </w:rPr>
      </w:pPr>
      <w:r w:rsidRPr="000326B5">
        <w:rPr>
          <w:rFonts w:ascii="Calibri Light" w:hAnsi="Calibri Light" w:cs="Calibri Light"/>
          <w:sz w:val="20"/>
        </w:rPr>
        <w:t>B.2</w:t>
      </w:r>
      <w:r w:rsidRPr="000326B5">
        <w:rPr>
          <w:rFonts w:ascii="Calibri Light" w:hAnsi="Calibri Light" w:cs="Calibri Light"/>
          <w:sz w:val="20"/>
        </w:rPr>
        <w:tab/>
        <w:t xml:space="preserve">Promote information exchange on potentially polluting wrecks and the development of national </w:t>
      </w:r>
      <w:proofErr w:type="gramStart"/>
      <w:r w:rsidRPr="000326B5">
        <w:rPr>
          <w:rFonts w:ascii="Calibri Light" w:hAnsi="Calibri Light" w:cs="Calibri Light"/>
          <w:sz w:val="20"/>
        </w:rPr>
        <w:t>databases;</w:t>
      </w:r>
      <w:proofErr w:type="gramEnd"/>
    </w:p>
    <w:p w14:paraId="1C8D681F" w14:textId="77777777" w:rsidR="000326B5" w:rsidRPr="000326B5" w:rsidRDefault="000326B5" w:rsidP="000326B5">
      <w:pPr>
        <w:tabs>
          <w:tab w:val="clear" w:pos="357"/>
          <w:tab w:val="left" w:pos="720"/>
        </w:tabs>
        <w:spacing w:line="280" w:lineRule="atLeast"/>
        <w:ind w:left="1454" w:hanging="907"/>
        <w:jc w:val="left"/>
        <w:rPr>
          <w:rFonts w:ascii="Calibri Light" w:hAnsi="Calibri Light" w:cs="Calibri Light"/>
          <w:sz w:val="20"/>
        </w:rPr>
      </w:pPr>
      <w:r w:rsidRPr="000326B5">
        <w:rPr>
          <w:rFonts w:ascii="Calibri Light" w:hAnsi="Calibri Light" w:cs="Calibri Light"/>
          <w:sz w:val="20"/>
        </w:rPr>
        <w:t>B.3</w:t>
      </w:r>
      <w:r w:rsidRPr="000326B5">
        <w:rPr>
          <w:rFonts w:ascii="Calibri Light" w:hAnsi="Calibri Light" w:cs="Calibri Light"/>
          <w:sz w:val="20"/>
        </w:rPr>
        <w:tab/>
        <w:t xml:space="preserve">Plan and undertake regional and sub-regional operational exercises and </w:t>
      </w:r>
      <w:proofErr w:type="gramStart"/>
      <w:r w:rsidRPr="000326B5">
        <w:rPr>
          <w:rFonts w:ascii="Calibri Light" w:hAnsi="Calibri Light" w:cs="Calibri Light"/>
          <w:sz w:val="20"/>
        </w:rPr>
        <w:t>training;</w:t>
      </w:r>
      <w:proofErr w:type="gramEnd"/>
    </w:p>
    <w:p w14:paraId="77E01D10" w14:textId="77777777" w:rsidR="000326B5" w:rsidRPr="000326B5" w:rsidRDefault="000326B5" w:rsidP="000326B5">
      <w:pPr>
        <w:tabs>
          <w:tab w:val="clear" w:pos="357"/>
          <w:tab w:val="left" w:pos="720"/>
        </w:tabs>
        <w:spacing w:line="280" w:lineRule="atLeast"/>
        <w:ind w:left="1454" w:hanging="907"/>
        <w:jc w:val="left"/>
        <w:rPr>
          <w:rFonts w:ascii="Calibri Light" w:hAnsi="Calibri Light" w:cs="Calibri Light"/>
          <w:sz w:val="20"/>
        </w:rPr>
      </w:pPr>
      <w:r w:rsidRPr="000326B5">
        <w:rPr>
          <w:rFonts w:ascii="Calibri Light" w:hAnsi="Calibri Light" w:cs="Calibri Light"/>
          <w:sz w:val="20"/>
        </w:rPr>
        <w:t>B.4</w:t>
      </w:r>
      <w:r w:rsidRPr="000326B5">
        <w:rPr>
          <w:rFonts w:ascii="Calibri Light" w:hAnsi="Calibri Light" w:cs="Calibri Light"/>
          <w:sz w:val="20"/>
        </w:rPr>
        <w:tab/>
        <w:t xml:space="preserve">Promote the development of national environmental advice systems and related exchanges of </w:t>
      </w:r>
      <w:proofErr w:type="gramStart"/>
      <w:r w:rsidRPr="000326B5">
        <w:rPr>
          <w:rFonts w:ascii="Calibri Light" w:hAnsi="Calibri Light" w:cs="Calibri Light"/>
          <w:sz w:val="20"/>
        </w:rPr>
        <w:t>information;</w:t>
      </w:r>
      <w:proofErr w:type="gramEnd"/>
    </w:p>
    <w:p w14:paraId="6BC7EAAB" w14:textId="77777777" w:rsidR="000326B5" w:rsidRPr="000326B5" w:rsidRDefault="000326B5" w:rsidP="000326B5">
      <w:pPr>
        <w:tabs>
          <w:tab w:val="clear" w:pos="357"/>
          <w:tab w:val="left" w:pos="720"/>
        </w:tabs>
        <w:spacing w:line="280" w:lineRule="exact"/>
        <w:ind w:left="1451" w:hanging="907"/>
        <w:jc w:val="left"/>
        <w:rPr>
          <w:rFonts w:ascii="Calibri Light" w:hAnsi="Calibri Light" w:cs="Calibri Light"/>
          <w:color w:val="000000"/>
          <w:spacing w:val="-2"/>
          <w:sz w:val="20"/>
        </w:rPr>
      </w:pPr>
      <w:r w:rsidRPr="000326B5">
        <w:rPr>
          <w:rFonts w:ascii="Calibri Light" w:hAnsi="Calibri Light" w:cs="Calibri Light"/>
          <w:color w:val="000000"/>
          <w:spacing w:val="-2"/>
          <w:sz w:val="20"/>
        </w:rPr>
        <w:t>B.5</w:t>
      </w:r>
      <w:r w:rsidRPr="000326B5">
        <w:rPr>
          <w:rFonts w:ascii="Calibri Light" w:hAnsi="Calibri Light" w:cs="Calibri Light"/>
          <w:color w:val="000000"/>
          <w:spacing w:val="-2"/>
          <w:sz w:val="20"/>
        </w:rPr>
        <w:tab/>
        <w:t>Maintain information exchange with other regional and international organisations, in particular the UCPM (Union Civil Protection Mechanism), EMSA, EPPR (Arctic Council), HELCOM, IMO, OSPAR Commission, Lisbon Agreement and REMPEC through attendance at Inter-Secretariat meetings, and where useful strengthen cooperation with these organisations, such as with regard to the joint development of a HNS Response Manual.</w:t>
      </w:r>
    </w:p>
    <w:p w14:paraId="6F8285B3" w14:textId="77777777" w:rsidR="000326B5" w:rsidRPr="000326B5" w:rsidRDefault="000326B5" w:rsidP="000326B5">
      <w:pPr>
        <w:tabs>
          <w:tab w:val="clear" w:pos="357"/>
          <w:tab w:val="left" w:pos="720"/>
        </w:tabs>
        <w:spacing w:line="280" w:lineRule="exact"/>
        <w:ind w:left="1434" w:hanging="890"/>
        <w:jc w:val="left"/>
        <w:rPr>
          <w:rFonts w:ascii="Calibri Light" w:hAnsi="Calibri Light" w:cs="Calibri Light"/>
          <w:sz w:val="20"/>
        </w:rPr>
      </w:pPr>
      <w:r w:rsidRPr="000326B5">
        <w:rPr>
          <w:rFonts w:ascii="Calibri Light" w:hAnsi="Calibri Light" w:cs="Calibri Light"/>
          <w:sz w:val="20"/>
        </w:rPr>
        <w:t>B.6</w:t>
      </w:r>
      <w:r w:rsidRPr="000326B5">
        <w:rPr>
          <w:rFonts w:ascii="Calibri Light" w:hAnsi="Calibri Light" w:cs="Calibri Light"/>
          <w:sz w:val="20"/>
        </w:rPr>
        <w:tab/>
      </w:r>
      <w:r w:rsidRPr="000326B5">
        <w:rPr>
          <w:rFonts w:ascii="Calibri Light" w:hAnsi="Calibri Light" w:cs="Calibri Light"/>
          <w:color w:val="000000"/>
          <w:spacing w:val="-2"/>
          <w:sz w:val="20"/>
        </w:rPr>
        <w:t xml:space="preserve">Strengthen cooperation with the OSPAR Commission and other international organisations involved in protecting the marine environment from pollution from shipping, offshore oil and gas operations, and other maritime </w:t>
      </w:r>
      <w:proofErr w:type="gramStart"/>
      <w:r w:rsidRPr="000326B5">
        <w:rPr>
          <w:rFonts w:ascii="Calibri Light" w:hAnsi="Calibri Light" w:cs="Calibri Light"/>
          <w:color w:val="000000"/>
          <w:spacing w:val="-2"/>
          <w:sz w:val="20"/>
        </w:rPr>
        <w:t>activities;</w:t>
      </w:r>
      <w:proofErr w:type="gramEnd"/>
    </w:p>
    <w:p w14:paraId="7D500D4C" w14:textId="77777777" w:rsidR="000326B5" w:rsidRPr="000326B5" w:rsidRDefault="000326B5" w:rsidP="000326B5">
      <w:pPr>
        <w:tabs>
          <w:tab w:val="clear" w:pos="357"/>
          <w:tab w:val="left" w:pos="720"/>
        </w:tabs>
        <w:spacing w:line="280" w:lineRule="exact"/>
        <w:ind w:left="1434" w:hanging="890"/>
        <w:jc w:val="left"/>
        <w:rPr>
          <w:rFonts w:ascii="Calibri Light" w:hAnsi="Calibri Light" w:cs="Calibri Light"/>
          <w:sz w:val="20"/>
        </w:rPr>
      </w:pPr>
      <w:r w:rsidRPr="000326B5">
        <w:rPr>
          <w:rFonts w:ascii="Calibri Light" w:hAnsi="Calibri Light" w:cs="Calibri Light"/>
          <w:sz w:val="20"/>
        </w:rPr>
        <w:t>B.7</w:t>
      </w:r>
      <w:r w:rsidRPr="000326B5">
        <w:rPr>
          <w:rFonts w:ascii="Calibri Light" w:hAnsi="Calibri Light" w:cs="Calibri Light"/>
          <w:sz w:val="20"/>
        </w:rPr>
        <w:tab/>
        <w:t>D</w:t>
      </w:r>
      <w:r w:rsidRPr="000326B5">
        <w:rPr>
          <w:rFonts w:ascii="Calibri Light" w:hAnsi="Calibri Light" w:cs="Calibri Light"/>
          <w:color w:val="000000"/>
          <w:sz w:val="20"/>
          <w:lang w:eastAsia="en-US"/>
        </w:rPr>
        <w:t xml:space="preserve">eveloping of HNS strategy for the cooperation with other international organisations for example HELCOM/EMSA/CTG to implement OPRC principles on </w:t>
      </w:r>
      <w:proofErr w:type="gramStart"/>
      <w:r w:rsidRPr="000326B5">
        <w:rPr>
          <w:rFonts w:ascii="Calibri Light" w:hAnsi="Calibri Light" w:cs="Calibri Light"/>
          <w:color w:val="000000"/>
          <w:sz w:val="20"/>
          <w:lang w:eastAsia="en-US"/>
        </w:rPr>
        <w:t>HNS;</w:t>
      </w:r>
      <w:proofErr w:type="gramEnd"/>
    </w:p>
    <w:p w14:paraId="031B24C2" w14:textId="77777777" w:rsidR="000326B5" w:rsidRPr="000326B5" w:rsidRDefault="000326B5" w:rsidP="000326B5">
      <w:pPr>
        <w:tabs>
          <w:tab w:val="clear" w:pos="357"/>
          <w:tab w:val="left" w:pos="720"/>
        </w:tabs>
        <w:spacing w:line="280" w:lineRule="exact"/>
        <w:ind w:left="1454" w:hanging="907"/>
        <w:jc w:val="left"/>
        <w:rPr>
          <w:rFonts w:ascii="Calibri Light" w:hAnsi="Calibri Light" w:cs="Calibri Light"/>
          <w:sz w:val="20"/>
        </w:rPr>
      </w:pPr>
      <w:r w:rsidRPr="000326B5">
        <w:rPr>
          <w:rFonts w:ascii="Calibri Light" w:hAnsi="Calibri Light" w:cs="Calibri Light"/>
          <w:sz w:val="20"/>
        </w:rPr>
        <w:t>B.8</w:t>
      </w:r>
      <w:r w:rsidRPr="000326B5">
        <w:rPr>
          <w:rFonts w:ascii="Calibri Light" w:hAnsi="Calibri Light" w:cs="Calibri Light"/>
          <w:sz w:val="20"/>
        </w:rPr>
        <w:tab/>
        <w:t xml:space="preserve">Liaise with IMO to determine how the Bonn Agreement can further contribute to strengthening international OPRC-HNS-protocol </w:t>
      </w:r>
      <w:proofErr w:type="gramStart"/>
      <w:r w:rsidRPr="000326B5">
        <w:rPr>
          <w:rFonts w:ascii="Calibri Light" w:hAnsi="Calibri Light" w:cs="Calibri Light"/>
          <w:sz w:val="20"/>
        </w:rPr>
        <w:t>implementation;</w:t>
      </w:r>
      <w:proofErr w:type="gramEnd"/>
    </w:p>
    <w:p w14:paraId="435DDB9A" w14:textId="77777777" w:rsidR="000326B5" w:rsidRPr="000326B5" w:rsidRDefault="000326B5" w:rsidP="000326B5">
      <w:pPr>
        <w:tabs>
          <w:tab w:val="clear" w:pos="357"/>
          <w:tab w:val="left" w:pos="567"/>
        </w:tabs>
        <w:spacing w:line="280" w:lineRule="exact"/>
        <w:ind w:left="1440" w:hanging="1440"/>
        <w:rPr>
          <w:rFonts w:ascii="Calibri Light" w:hAnsi="Calibri Light" w:cs="Calibri Light"/>
          <w:sz w:val="20"/>
        </w:rPr>
      </w:pPr>
      <w:r w:rsidRPr="000326B5">
        <w:rPr>
          <w:rFonts w:ascii="Calibri Light" w:hAnsi="Calibri Light" w:cs="Calibri Light"/>
          <w:sz w:val="20"/>
        </w:rPr>
        <w:tab/>
        <w:t>B.9</w:t>
      </w:r>
      <w:r w:rsidRPr="000326B5">
        <w:rPr>
          <w:rFonts w:ascii="Calibri Light" w:hAnsi="Calibri Light" w:cs="Calibri Light"/>
          <w:sz w:val="20"/>
        </w:rPr>
        <w:tab/>
        <w:t>To continue to evolve response capacity based on environmental risk analysis to keep up with the changing maritime risk.</w:t>
      </w:r>
    </w:p>
    <w:p w14:paraId="02BE7479" w14:textId="77777777" w:rsidR="000326B5" w:rsidRPr="000326B5" w:rsidRDefault="000326B5" w:rsidP="000326B5">
      <w:pPr>
        <w:keepNext/>
        <w:tabs>
          <w:tab w:val="clear" w:pos="357"/>
          <w:tab w:val="left" w:pos="720"/>
        </w:tabs>
        <w:spacing w:before="240" w:after="240" w:line="280" w:lineRule="atLeast"/>
        <w:jc w:val="left"/>
        <w:rPr>
          <w:rFonts w:ascii="Calibri Light" w:hAnsi="Calibri Light" w:cs="Calibri Light"/>
          <w:sz w:val="20"/>
          <w:u w:val="single"/>
        </w:rPr>
      </w:pPr>
      <w:r w:rsidRPr="000326B5">
        <w:rPr>
          <w:rFonts w:ascii="Calibri Light" w:hAnsi="Calibri Light" w:cs="Calibri Light"/>
          <w:sz w:val="20"/>
          <w:u w:val="single"/>
        </w:rPr>
        <w:t>Actions in relation to Strategic Aim C (response):</w:t>
      </w:r>
    </w:p>
    <w:p w14:paraId="5F87020C" w14:textId="77777777" w:rsidR="000326B5" w:rsidRPr="000326B5" w:rsidRDefault="000326B5" w:rsidP="000326B5">
      <w:pPr>
        <w:tabs>
          <w:tab w:val="clear" w:pos="357"/>
          <w:tab w:val="left" w:pos="720"/>
        </w:tabs>
        <w:spacing w:line="280" w:lineRule="exact"/>
        <w:ind w:left="1440" w:hanging="901"/>
        <w:jc w:val="left"/>
        <w:rPr>
          <w:rFonts w:ascii="Calibri Light" w:hAnsi="Calibri Light" w:cs="Calibri Light"/>
          <w:color w:val="000000"/>
          <w:spacing w:val="-2"/>
          <w:sz w:val="20"/>
        </w:rPr>
      </w:pPr>
      <w:r w:rsidRPr="000326B5">
        <w:rPr>
          <w:rFonts w:ascii="Calibri Light" w:hAnsi="Calibri Light" w:cs="Calibri Light"/>
          <w:sz w:val="20"/>
        </w:rPr>
        <w:t>C.1</w:t>
      </w:r>
      <w:r w:rsidRPr="000326B5">
        <w:rPr>
          <w:rFonts w:ascii="Calibri Light" w:hAnsi="Calibri Light" w:cs="Calibri Light"/>
          <w:sz w:val="20"/>
        </w:rPr>
        <w:tab/>
        <w:t xml:space="preserve">Maintain a system of pollution incident reporting and identification of lessons </w:t>
      </w:r>
      <w:proofErr w:type="gramStart"/>
      <w:r w:rsidRPr="000326B5">
        <w:rPr>
          <w:rFonts w:ascii="Calibri Light" w:hAnsi="Calibri Light" w:cs="Calibri Light"/>
          <w:sz w:val="20"/>
        </w:rPr>
        <w:t>learned;</w:t>
      </w:r>
      <w:proofErr w:type="gramEnd"/>
    </w:p>
    <w:p w14:paraId="59667A20" w14:textId="77777777" w:rsidR="000326B5" w:rsidRPr="000326B5" w:rsidRDefault="000326B5" w:rsidP="000326B5">
      <w:pPr>
        <w:tabs>
          <w:tab w:val="clear" w:pos="357"/>
          <w:tab w:val="left" w:pos="720"/>
        </w:tabs>
        <w:spacing w:line="280" w:lineRule="exact"/>
        <w:ind w:left="1439" w:hanging="900"/>
        <w:jc w:val="left"/>
        <w:rPr>
          <w:rFonts w:ascii="Calibri Light" w:hAnsi="Calibri Light" w:cs="Calibri Light"/>
          <w:color w:val="000000"/>
          <w:spacing w:val="-2"/>
          <w:sz w:val="20"/>
        </w:rPr>
      </w:pPr>
      <w:r w:rsidRPr="000326B5">
        <w:rPr>
          <w:rFonts w:ascii="Calibri Light" w:hAnsi="Calibri Light" w:cs="Calibri Light"/>
          <w:color w:val="000000"/>
          <w:spacing w:val="-2"/>
          <w:sz w:val="20"/>
        </w:rPr>
        <w:t>C.2</w:t>
      </w:r>
      <w:r w:rsidRPr="000326B5">
        <w:rPr>
          <w:rFonts w:ascii="Calibri Light" w:hAnsi="Calibri Light" w:cs="Calibri Light"/>
          <w:color w:val="000000"/>
          <w:spacing w:val="-2"/>
          <w:sz w:val="20"/>
        </w:rPr>
        <w:tab/>
        <w:t xml:space="preserve">Maintain and keep up to date joint response plans to maritime incidents (DENGERNETH Plan, MANCHEPLAN, Quadripartite Zone Plan, </w:t>
      </w:r>
      <w:proofErr w:type="spellStart"/>
      <w:r w:rsidRPr="000326B5">
        <w:rPr>
          <w:rFonts w:ascii="Calibri Light" w:hAnsi="Calibri Light" w:cs="Calibri Light"/>
          <w:color w:val="000000"/>
          <w:spacing w:val="-2"/>
          <w:sz w:val="20"/>
        </w:rPr>
        <w:t>NorBrit</w:t>
      </w:r>
      <w:proofErr w:type="spellEnd"/>
      <w:r w:rsidRPr="000326B5">
        <w:rPr>
          <w:rFonts w:ascii="Calibri Light" w:hAnsi="Calibri Light" w:cs="Calibri Light"/>
          <w:color w:val="000000"/>
          <w:spacing w:val="-2"/>
          <w:sz w:val="20"/>
        </w:rPr>
        <w:t xml:space="preserve"> Plan [Bay of Biscay Plan]</w:t>
      </w:r>
      <w:proofErr w:type="gramStart"/>
      <w:r w:rsidRPr="000326B5">
        <w:rPr>
          <w:rFonts w:ascii="Calibri Light" w:hAnsi="Calibri Light" w:cs="Calibri Light"/>
          <w:color w:val="000000"/>
          <w:spacing w:val="-2"/>
          <w:sz w:val="20"/>
        </w:rPr>
        <w:t>);</w:t>
      </w:r>
      <w:proofErr w:type="gramEnd"/>
    </w:p>
    <w:p w14:paraId="4B680074" w14:textId="77777777" w:rsidR="000326B5" w:rsidRPr="000326B5" w:rsidRDefault="000326B5" w:rsidP="000326B5">
      <w:pPr>
        <w:tabs>
          <w:tab w:val="clear" w:pos="357"/>
          <w:tab w:val="left" w:pos="720"/>
        </w:tabs>
        <w:spacing w:line="280" w:lineRule="exact"/>
        <w:ind w:left="1439" w:hanging="900"/>
        <w:jc w:val="left"/>
        <w:rPr>
          <w:rFonts w:ascii="Calibri Light" w:hAnsi="Calibri Light" w:cs="Calibri Light"/>
          <w:color w:val="000000"/>
          <w:spacing w:val="-2"/>
          <w:sz w:val="20"/>
        </w:rPr>
      </w:pPr>
      <w:r w:rsidRPr="000326B5">
        <w:rPr>
          <w:rFonts w:ascii="Calibri Light" w:hAnsi="Calibri Light" w:cs="Calibri Light"/>
          <w:color w:val="000000"/>
          <w:spacing w:val="-2"/>
          <w:sz w:val="20"/>
        </w:rPr>
        <w:t>C.3</w:t>
      </w:r>
      <w:r w:rsidRPr="000326B5">
        <w:rPr>
          <w:rFonts w:ascii="Calibri Light" w:hAnsi="Calibri Light" w:cs="Calibri Light"/>
          <w:color w:val="000000"/>
          <w:spacing w:val="-2"/>
          <w:sz w:val="20"/>
        </w:rPr>
        <w:tab/>
        <w:t xml:space="preserve">Strengthen the development of joint approaches to wildlife response, including identification of best practice and communication of wildlife response work to the </w:t>
      </w:r>
      <w:proofErr w:type="gramStart"/>
      <w:r w:rsidRPr="000326B5">
        <w:rPr>
          <w:rFonts w:ascii="Calibri Light" w:hAnsi="Calibri Light" w:cs="Calibri Light"/>
          <w:color w:val="000000"/>
          <w:spacing w:val="-2"/>
          <w:sz w:val="20"/>
        </w:rPr>
        <w:t>public;</w:t>
      </w:r>
      <w:proofErr w:type="gramEnd"/>
      <w:r w:rsidRPr="000326B5">
        <w:rPr>
          <w:rFonts w:ascii="Calibri Light" w:hAnsi="Calibri Light" w:cs="Calibri Light"/>
          <w:color w:val="000000"/>
          <w:spacing w:val="-2"/>
          <w:sz w:val="20"/>
        </w:rPr>
        <w:t xml:space="preserve"> </w:t>
      </w:r>
    </w:p>
    <w:p w14:paraId="6FE65261" w14:textId="77777777" w:rsidR="000326B5" w:rsidRPr="000326B5" w:rsidRDefault="000326B5" w:rsidP="000326B5">
      <w:pPr>
        <w:tabs>
          <w:tab w:val="clear" w:pos="357"/>
          <w:tab w:val="left" w:pos="720"/>
        </w:tabs>
        <w:spacing w:line="280" w:lineRule="exact"/>
        <w:ind w:left="1439" w:hanging="900"/>
        <w:jc w:val="left"/>
        <w:rPr>
          <w:rFonts w:ascii="Calibri Light" w:hAnsi="Calibri Light" w:cs="Calibri Light"/>
          <w:color w:val="000000"/>
          <w:spacing w:val="-2"/>
          <w:sz w:val="20"/>
        </w:rPr>
      </w:pPr>
      <w:r w:rsidRPr="000326B5">
        <w:rPr>
          <w:rFonts w:ascii="Calibri Light" w:hAnsi="Calibri Light" w:cs="Calibri Light"/>
          <w:color w:val="000000"/>
          <w:spacing w:val="-2"/>
          <w:sz w:val="20"/>
        </w:rPr>
        <w:t>C.4</w:t>
      </w:r>
      <w:r w:rsidRPr="000326B5">
        <w:rPr>
          <w:rFonts w:ascii="Calibri Light" w:hAnsi="Calibri Light" w:cs="Calibri Light"/>
          <w:color w:val="000000"/>
          <w:spacing w:val="-2"/>
          <w:sz w:val="20"/>
        </w:rPr>
        <w:tab/>
        <w:t xml:space="preserve">Sharing lessons identified and learned from pollution response in offshore wind </w:t>
      </w:r>
      <w:proofErr w:type="gramStart"/>
      <w:r w:rsidRPr="000326B5">
        <w:rPr>
          <w:rFonts w:ascii="Calibri Light" w:hAnsi="Calibri Light" w:cs="Calibri Light"/>
          <w:color w:val="000000"/>
          <w:spacing w:val="-2"/>
          <w:sz w:val="20"/>
        </w:rPr>
        <w:t>parks;</w:t>
      </w:r>
      <w:proofErr w:type="gramEnd"/>
    </w:p>
    <w:p w14:paraId="71F3572F" w14:textId="77777777" w:rsidR="000326B5" w:rsidRPr="000326B5" w:rsidRDefault="000326B5" w:rsidP="000326B5">
      <w:pPr>
        <w:tabs>
          <w:tab w:val="clear" w:pos="357"/>
          <w:tab w:val="left" w:pos="720"/>
        </w:tabs>
        <w:spacing w:line="280" w:lineRule="exact"/>
        <w:ind w:left="1439" w:hanging="900"/>
        <w:jc w:val="left"/>
        <w:rPr>
          <w:rFonts w:ascii="Calibri Light" w:hAnsi="Calibri Light" w:cs="Calibri Light"/>
          <w:color w:val="000000"/>
          <w:spacing w:val="-2"/>
          <w:sz w:val="20"/>
        </w:rPr>
      </w:pPr>
      <w:r w:rsidRPr="000326B5">
        <w:rPr>
          <w:rFonts w:ascii="Calibri Light" w:hAnsi="Calibri Light" w:cs="Calibri Light"/>
          <w:color w:val="000000"/>
          <w:spacing w:val="-2"/>
          <w:sz w:val="20"/>
        </w:rPr>
        <w:lastRenderedPageBreak/>
        <w:t>C.5</w:t>
      </w:r>
      <w:r w:rsidRPr="000326B5">
        <w:rPr>
          <w:rFonts w:ascii="Calibri Light" w:hAnsi="Calibri Light" w:cs="Calibri Light"/>
          <w:color w:val="000000"/>
          <w:spacing w:val="-2"/>
          <w:sz w:val="20"/>
        </w:rPr>
        <w:tab/>
        <w:t xml:space="preserve">Promote links and coordination with shoreline </w:t>
      </w:r>
      <w:proofErr w:type="gramStart"/>
      <w:r w:rsidRPr="000326B5">
        <w:rPr>
          <w:rFonts w:ascii="Calibri Light" w:hAnsi="Calibri Light" w:cs="Calibri Light"/>
          <w:color w:val="000000"/>
          <w:spacing w:val="-2"/>
          <w:sz w:val="20"/>
        </w:rPr>
        <w:t>response;</w:t>
      </w:r>
      <w:proofErr w:type="gramEnd"/>
    </w:p>
    <w:p w14:paraId="1F64A155" w14:textId="77777777" w:rsidR="000326B5" w:rsidRPr="000326B5" w:rsidRDefault="000326B5" w:rsidP="000326B5">
      <w:pPr>
        <w:tabs>
          <w:tab w:val="clear" w:pos="357"/>
          <w:tab w:val="left" w:pos="720"/>
        </w:tabs>
        <w:spacing w:line="280" w:lineRule="exact"/>
        <w:ind w:left="1439" w:hanging="900"/>
        <w:jc w:val="left"/>
        <w:rPr>
          <w:rFonts w:ascii="Calibri Light" w:hAnsi="Calibri Light" w:cs="Calibri Light"/>
          <w:color w:val="000000"/>
          <w:spacing w:val="-2"/>
          <w:sz w:val="20"/>
        </w:rPr>
      </w:pPr>
      <w:r w:rsidRPr="000326B5">
        <w:rPr>
          <w:rFonts w:ascii="Calibri Light" w:hAnsi="Calibri Light" w:cs="Calibri Light"/>
          <w:color w:val="000000"/>
          <w:spacing w:val="-2"/>
          <w:sz w:val="20"/>
        </w:rPr>
        <w:t>C.6</w:t>
      </w:r>
      <w:r w:rsidRPr="000326B5">
        <w:rPr>
          <w:rFonts w:ascii="Calibri Light" w:hAnsi="Calibri Light" w:cs="Calibri Light"/>
          <w:color w:val="000000"/>
          <w:spacing w:val="-2"/>
          <w:sz w:val="20"/>
        </w:rPr>
        <w:tab/>
        <w:t>Promote research and development and information exchange on response technologies, equipment and other operational means, in particular on integrated surveillance sensors, response technology to respond to accidents at night and in bad visibility, under bad weather conditions, on the detection and recovery of containers lost at sea, accidents involving heavy oil and chemical accidents, and on accidents involving new generations fuels;</w:t>
      </w:r>
    </w:p>
    <w:p w14:paraId="28F47DD3" w14:textId="77777777" w:rsidR="005A07E5" w:rsidRDefault="000326B5" w:rsidP="005A07E5">
      <w:pPr>
        <w:tabs>
          <w:tab w:val="clear" w:pos="357"/>
          <w:tab w:val="left" w:pos="720"/>
        </w:tabs>
        <w:spacing w:line="280" w:lineRule="exact"/>
        <w:ind w:left="1439" w:hanging="900"/>
        <w:jc w:val="left"/>
        <w:rPr>
          <w:rFonts w:ascii="Calibri Light" w:hAnsi="Calibri Light" w:cs="Calibri Light"/>
          <w:sz w:val="20"/>
        </w:rPr>
      </w:pPr>
      <w:r w:rsidRPr="000326B5">
        <w:rPr>
          <w:rFonts w:ascii="Calibri Light" w:hAnsi="Calibri Light" w:cs="Calibri Light"/>
          <w:sz w:val="20"/>
        </w:rPr>
        <w:t>C.7</w:t>
      </w:r>
      <w:r w:rsidRPr="000326B5">
        <w:rPr>
          <w:rFonts w:ascii="Calibri Light" w:hAnsi="Calibri Light" w:cs="Calibri Light"/>
          <w:sz w:val="20"/>
        </w:rPr>
        <w:tab/>
        <w:t xml:space="preserve">Promote research on joint research priorities: by 2019-22 to develop a joint research proposal on new generation </w:t>
      </w:r>
      <w:proofErr w:type="gramStart"/>
      <w:r w:rsidRPr="000326B5">
        <w:rPr>
          <w:rFonts w:ascii="Calibri Light" w:hAnsi="Calibri Light" w:cs="Calibri Light"/>
          <w:sz w:val="20"/>
        </w:rPr>
        <w:t>fuels;</w:t>
      </w:r>
      <w:proofErr w:type="gramEnd"/>
    </w:p>
    <w:p w14:paraId="0A2232A1" w14:textId="37D95DE9" w:rsidR="000326B5" w:rsidRPr="005A07E5" w:rsidRDefault="000326B5" w:rsidP="005A07E5">
      <w:pPr>
        <w:tabs>
          <w:tab w:val="clear" w:pos="357"/>
          <w:tab w:val="left" w:pos="720"/>
        </w:tabs>
        <w:spacing w:line="280" w:lineRule="exact"/>
        <w:ind w:left="1439" w:hanging="900"/>
        <w:jc w:val="left"/>
        <w:rPr>
          <w:rFonts w:ascii="Calibri Light" w:hAnsi="Calibri Light" w:cs="Calibri Light"/>
          <w:sz w:val="20"/>
        </w:rPr>
      </w:pPr>
      <w:r w:rsidRPr="000326B5">
        <w:rPr>
          <w:rFonts w:ascii="Calibri Light" w:hAnsi="Calibri Light" w:cs="Calibri Light"/>
          <w:sz w:val="20"/>
        </w:rPr>
        <w:t>C.8</w:t>
      </w:r>
      <w:r w:rsidRPr="000326B5">
        <w:rPr>
          <w:rFonts w:ascii="Calibri Light" w:hAnsi="Calibri Light" w:cs="Calibri Light"/>
          <w:sz w:val="20"/>
        </w:rPr>
        <w:tab/>
        <w:t>Promote exchanges of information on national risk assessment systems, including emergency towing</w:t>
      </w:r>
      <w:r w:rsidRPr="000326B5">
        <w:rPr>
          <w:rFonts w:ascii="Calibri Light" w:hAnsi="Calibri Light" w:cs="Calibri Light"/>
          <w:color w:val="000000"/>
          <w:spacing w:val="-2"/>
          <w:sz w:val="20"/>
        </w:rPr>
        <w:t>.</w:t>
      </w:r>
    </w:p>
    <w:p w14:paraId="5661359F" w14:textId="77777777" w:rsidR="00A63A03" w:rsidRDefault="00A63A03" w:rsidP="008D4A0C">
      <w:pPr>
        <w:rPr>
          <w:rFonts w:cstheme="minorHAnsi"/>
        </w:rPr>
      </w:pPr>
    </w:p>
    <w:p w14:paraId="20C5073F" w14:textId="77777777" w:rsidR="00146C07" w:rsidRDefault="00146C07">
      <w:pPr>
        <w:tabs>
          <w:tab w:val="clear" w:pos="357"/>
        </w:tabs>
        <w:spacing w:after="0" w:line="240" w:lineRule="auto"/>
        <w:jc w:val="left"/>
        <w:rPr>
          <w:bCs/>
          <w:snapToGrid w:val="0"/>
          <w:sz w:val="40"/>
          <w:szCs w:val="28"/>
        </w:rPr>
      </w:pPr>
    </w:p>
    <w:p w14:paraId="114692AA" w14:textId="77777777" w:rsidR="006F4DE9" w:rsidRDefault="006F4DE9">
      <w:pPr>
        <w:tabs>
          <w:tab w:val="clear" w:pos="357"/>
        </w:tabs>
        <w:spacing w:after="0" w:line="240" w:lineRule="auto"/>
        <w:jc w:val="left"/>
        <w:rPr>
          <w:bCs/>
          <w:snapToGrid w:val="0"/>
          <w:sz w:val="40"/>
          <w:szCs w:val="28"/>
        </w:rPr>
        <w:sectPr w:rsidR="006F4DE9" w:rsidSect="00543AD6">
          <w:headerReference w:type="default" r:id="rId15"/>
          <w:pgSz w:w="11906" w:h="16838"/>
          <w:pgMar w:top="1418" w:right="1440" w:bottom="1134" w:left="1440" w:header="709" w:footer="709" w:gutter="0"/>
          <w:cols w:space="708"/>
          <w:docGrid w:linePitch="360"/>
        </w:sectPr>
      </w:pPr>
    </w:p>
    <w:p w14:paraId="55C576BE" w14:textId="3DF49562" w:rsidR="00146C07" w:rsidRPr="00D73834" w:rsidRDefault="00543AD6" w:rsidP="00146C07">
      <w:pPr>
        <w:pStyle w:val="Title"/>
        <w:tabs>
          <w:tab w:val="right" w:leader="underscore" w:pos="9639"/>
        </w:tabs>
        <w:spacing w:after="0"/>
        <w:rPr>
          <w:rFonts w:asciiTheme="minorHAnsi" w:hAnsiTheme="minorHAnsi" w:cstheme="minorHAnsi"/>
          <w:sz w:val="36"/>
          <w:szCs w:val="36"/>
        </w:rPr>
      </w:pPr>
      <w:r w:rsidRPr="00543AD6">
        <w:rPr>
          <w:rFonts w:asciiTheme="minorHAnsi" w:hAnsiTheme="minorHAnsi" w:cstheme="minorHAnsi"/>
          <w:sz w:val="36"/>
          <w:szCs w:val="36"/>
        </w:rPr>
        <w:lastRenderedPageBreak/>
        <w:t>Bonn Agreement Strategic Action Plan</w:t>
      </w:r>
      <w:r w:rsidRPr="00543AD6">
        <w:rPr>
          <w:rFonts w:asciiTheme="minorHAnsi" w:hAnsiTheme="minorHAnsi" w:cstheme="minorHAnsi"/>
          <w:sz w:val="36"/>
          <w:szCs w:val="36"/>
        </w:rPr>
        <w:t xml:space="preserve"> </w:t>
      </w:r>
      <w:r>
        <w:rPr>
          <w:rFonts w:asciiTheme="minorHAnsi" w:hAnsiTheme="minorHAnsi" w:cstheme="minorHAnsi"/>
          <w:sz w:val="36"/>
          <w:szCs w:val="36"/>
        </w:rPr>
        <w:t xml:space="preserve">2019-2025 </w:t>
      </w:r>
      <w:r w:rsidR="00146C07" w:rsidRPr="00D73834">
        <w:rPr>
          <w:rFonts w:asciiTheme="minorHAnsi" w:hAnsiTheme="minorHAnsi" w:cstheme="minorHAnsi"/>
          <w:sz w:val="36"/>
          <w:szCs w:val="36"/>
        </w:rPr>
        <w:t>Implementation</w:t>
      </w:r>
    </w:p>
    <w:p w14:paraId="13692C38" w14:textId="77777777" w:rsidR="00146C07" w:rsidRPr="00D73834" w:rsidRDefault="00146C07" w:rsidP="00146C07">
      <w:pPr>
        <w:tabs>
          <w:tab w:val="left" w:pos="720"/>
        </w:tabs>
        <w:spacing w:before="120" w:after="0" w:line="240" w:lineRule="auto"/>
        <w:rPr>
          <w:rFonts w:asciiTheme="minorHAnsi" w:hAnsiTheme="minorHAnsi" w:cstheme="minorHAnsi"/>
        </w:rPr>
      </w:pPr>
      <w:r w:rsidRPr="00D73834">
        <w:rPr>
          <w:rFonts w:asciiTheme="minorHAnsi" w:hAnsiTheme="minorHAnsi" w:cstheme="minorHAnsi"/>
          <w:szCs w:val="22"/>
        </w:rPr>
        <w:t xml:space="preserve">Tasks 1 – 16 in relation to Strategic Aim A (prevention):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72"/>
        <w:gridCol w:w="1244"/>
        <w:gridCol w:w="4516"/>
        <w:gridCol w:w="1417"/>
        <w:gridCol w:w="4745"/>
        <w:gridCol w:w="1554"/>
      </w:tblGrid>
      <w:tr w:rsidR="009D36ED" w:rsidRPr="00D73834" w14:paraId="6281E31C" w14:textId="77777777" w:rsidTr="009D36ED">
        <w:trPr>
          <w:tblHeader/>
        </w:trPr>
        <w:tc>
          <w:tcPr>
            <w:tcW w:w="0" w:type="auto"/>
            <w:shd w:val="clear" w:color="auto" w:fill="EDEDED"/>
          </w:tcPr>
          <w:p w14:paraId="44D227FA" w14:textId="77777777" w:rsidR="009D36ED" w:rsidRPr="00D73834" w:rsidRDefault="009D36ED" w:rsidP="0079403C">
            <w:pPr>
              <w:tabs>
                <w:tab w:val="left" w:pos="720"/>
              </w:tabs>
              <w:spacing w:before="20" w:after="20"/>
              <w:jc w:val="left"/>
              <w:rPr>
                <w:rFonts w:asciiTheme="minorHAnsi" w:hAnsiTheme="minorHAnsi" w:cstheme="minorHAnsi"/>
                <w:b/>
                <w:snapToGrid w:val="0"/>
                <w:szCs w:val="22"/>
              </w:rPr>
            </w:pPr>
            <w:r w:rsidRPr="00D73834">
              <w:rPr>
                <w:rFonts w:asciiTheme="minorHAnsi" w:hAnsiTheme="minorHAnsi" w:cstheme="minorHAnsi"/>
                <w:b/>
                <w:snapToGrid w:val="0"/>
                <w:szCs w:val="22"/>
              </w:rPr>
              <w:t>Task</w:t>
            </w:r>
          </w:p>
        </w:tc>
        <w:tc>
          <w:tcPr>
            <w:tcW w:w="446" w:type="pct"/>
            <w:shd w:val="clear" w:color="auto" w:fill="EDEDED"/>
          </w:tcPr>
          <w:p w14:paraId="4D546E2C" w14:textId="77777777" w:rsidR="009D36ED" w:rsidRPr="00D73834" w:rsidRDefault="009D36ED" w:rsidP="0079403C">
            <w:pPr>
              <w:tabs>
                <w:tab w:val="left" w:pos="770"/>
              </w:tabs>
              <w:spacing w:before="20" w:after="20"/>
              <w:jc w:val="left"/>
              <w:rPr>
                <w:rFonts w:asciiTheme="minorHAnsi" w:hAnsiTheme="minorHAnsi" w:cstheme="minorHAnsi"/>
                <w:b/>
                <w:szCs w:val="22"/>
              </w:rPr>
            </w:pPr>
            <w:r w:rsidRPr="00D73834">
              <w:rPr>
                <w:rFonts w:asciiTheme="minorHAnsi" w:hAnsiTheme="minorHAnsi" w:cstheme="minorHAnsi"/>
                <w:b/>
                <w:szCs w:val="22"/>
              </w:rPr>
              <w:t>Strategic Action</w:t>
            </w:r>
          </w:p>
        </w:tc>
        <w:tc>
          <w:tcPr>
            <w:tcW w:w="1619" w:type="pct"/>
            <w:shd w:val="clear" w:color="auto" w:fill="EDEDED"/>
          </w:tcPr>
          <w:p w14:paraId="3B136B58" w14:textId="77777777" w:rsidR="009D36ED" w:rsidRPr="00D73834" w:rsidRDefault="009D36ED" w:rsidP="0079403C">
            <w:pPr>
              <w:tabs>
                <w:tab w:val="left" w:pos="770"/>
              </w:tabs>
              <w:spacing w:before="20" w:after="20"/>
              <w:jc w:val="left"/>
              <w:rPr>
                <w:rFonts w:asciiTheme="minorHAnsi" w:hAnsiTheme="minorHAnsi" w:cstheme="minorHAnsi"/>
                <w:b/>
                <w:szCs w:val="22"/>
              </w:rPr>
            </w:pPr>
            <w:r w:rsidRPr="00D73834">
              <w:rPr>
                <w:rFonts w:asciiTheme="minorHAnsi" w:hAnsiTheme="minorHAnsi" w:cstheme="minorHAnsi"/>
                <w:b/>
                <w:szCs w:val="22"/>
              </w:rPr>
              <w:t>Description</w:t>
            </w:r>
          </w:p>
        </w:tc>
        <w:tc>
          <w:tcPr>
            <w:tcW w:w="508" w:type="pct"/>
            <w:shd w:val="clear" w:color="auto" w:fill="EDEDED"/>
          </w:tcPr>
          <w:p w14:paraId="7309F53E" w14:textId="77777777" w:rsidR="009D36ED" w:rsidRPr="00D73834" w:rsidRDefault="009D36ED" w:rsidP="0079403C">
            <w:pPr>
              <w:tabs>
                <w:tab w:val="left" w:pos="720"/>
              </w:tabs>
              <w:spacing w:before="20" w:after="20"/>
              <w:jc w:val="left"/>
              <w:rPr>
                <w:rFonts w:asciiTheme="minorHAnsi" w:hAnsiTheme="minorHAnsi" w:cstheme="minorHAnsi"/>
                <w:b/>
                <w:snapToGrid w:val="0"/>
                <w:szCs w:val="22"/>
              </w:rPr>
            </w:pPr>
            <w:r w:rsidRPr="00D73834">
              <w:rPr>
                <w:rFonts w:asciiTheme="minorHAnsi" w:hAnsiTheme="minorHAnsi" w:cstheme="minorHAnsi"/>
                <w:b/>
                <w:snapToGrid w:val="0"/>
                <w:szCs w:val="22"/>
              </w:rPr>
              <w:t>Target Date</w:t>
            </w:r>
          </w:p>
        </w:tc>
        <w:tc>
          <w:tcPr>
            <w:tcW w:w="1701" w:type="pct"/>
            <w:shd w:val="clear" w:color="auto" w:fill="EDEDED"/>
          </w:tcPr>
          <w:p w14:paraId="3896D441" w14:textId="77777777" w:rsidR="009D36ED" w:rsidRPr="00D73834" w:rsidRDefault="009D36ED" w:rsidP="0079403C">
            <w:pPr>
              <w:tabs>
                <w:tab w:val="left" w:pos="720"/>
              </w:tabs>
              <w:spacing w:before="20" w:after="20"/>
              <w:jc w:val="left"/>
              <w:rPr>
                <w:rFonts w:asciiTheme="minorHAnsi" w:hAnsiTheme="minorHAnsi" w:cstheme="minorHAnsi"/>
                <w:b/>
                <w:snapToGrid w:val="0"/>
                <w:szCs w:val="22"/>
              </w:rPr>
            </w:pPr>
            <w:r w:rsidRPr="00D73834">
              <w:rPr>
                <w:rFonts w:asciiTheme="minorHAnsi" w:hAnsiTheme="minorHAnsi" w:cstheme="minorHAnsi"/>
                <w:b/>
                <w:snapToGrid w:val="0"/>
                <w:szCs w:val="22"/>
              </w:rPr>
              <w:t>Progress</w:t>
            </w:r>
          </w:p>
        </w:tc>
        <w:tc>
          <w:tcPr>
            <w:tcW w:w="557" w:type="pct"/>
            <w:shd w:val="clear" w:color="auto" w:fill="EDEDED"/>
          </w:tcPr>
          <w:p w14:paraId="0D59814E" w14:textId="77777777" w:rsidR="009D36ED" w:rsidRPr="00D73834" w:rsidRDefault="009D36ED" w:rsidP="0079403C">
            <w:pPr>
              <w:tabs>
                <w:tab w:val="left" w:pos="720"/>
              </w:tabs>
              <w:spacing w:before="20" w:after="20"/>
              <w:jc w:val="left"/>
              <w:rPr>
                <w:rFonts w:asciiTheme="minorHAnsi" w:hAnsiTheme="minorHAnsi" w:cstheme="minorHAnsi"/>
                <w:b/>
                <w:snapToGrid w:val="0"/>
                <w:szCs w:val="22"/>
              </w:rPr>
            </w:pPr>
            <w:r w:rsidRPr="00D73834">
              <w:rPr>
                <w:rFonts w:asciiTheme="minorHAnsi" w:hAnsiTheme="minorHAnsi" w:cstheme="minorHAnsi"/>
                <w:b/>
                <w:snapToGrid w:val="0"/>
                <w:szCs w:val="22"/>
              </w:rPr>
              <w:t>Status</w:t>
            </w:r>
          </w:p>
        </w:tc>
      </w:tr>
      <w:tr w:rsidR="009D36ED" w:rsidRPr="00D73834" w14:paraId="684EC793" w14:textId="77777777" w:rsidTr="009D36ED">
        <w:tc>
          <w:tcPr>
            <w:tcW w:w="0" w:type="auto"/>
            <w:shd w:val="clear" w:color="auto" w:fill="FFFFFF"/>
            <w:hideMark/>
          </w:tcPr>
          <w:p w14:paraId="2BF28E1A" w14:textId="77777777" w:rsidR="009D36ED" w:rsidRPr="00413B70" w:rsidRDefault="009D36ED"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1</w:t>
            </w:r>
          </w:p>
        </w:tc>
        <w:tc>
          <w:tcPr>
            <w:tcW w:w="446" w:type="pct"/>
            <w:shd w:val="clear" w:color="auto" w:fill="FFFFFF"/>
            <w:hideMark/>
          </w:tcPr>
          <w:p w14:paraId="134248A0"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A.1</w:t>
            </w:r>
          </w:p>
        </w:tc>
        <w:tc>
          <w:tcPr>
            <w:tcW w:w="1619" w:type="pct"/>
            <w:shd w:val="clear" w:color="auto" w:fill="FFFFFF"/>
            <w:hideMark/>
          </w:tcPr>
          <w:p w14:paraId="70E8D90B" w14:textId="3B6DBFCC" w:rsidR="009D36ED" w:rsidRPr="00413B70" w:rsidRDefault="009D36ED" w:rsidP="0079403C">
            <w:pPr>
              <w:tabs>
                <w:tab w:val="left" w:pos="770"/>
              </w:tabs>
              <w:spacing w:before="20" w:after="20"/>
              <w:jc w:val="left"/>
              <w:rPr>
                <w:rFonts w:asciiTheme="minorHAnsi" w:hAnsiTheme="minorHAnsi" w:cstheme="minorHAnsi"/>
                <w:b/>
                <w:snapToGrid w:val="0"/>
                <w:sz w:val="20"/>
              </w:rPr>
            </w:pPr>
            <w:r w:rsidRPr="00413B70">
              <w:rPr>
                <w:rFonts w:asciiTheme="minorHAnsi" w:hAnsiTheme="minorHAnsi" w:cstheme="minorHAnsi"/>
                <w:b/>
                <w:sz w:val="20"/>
              </w:rPr>
              <w:t>Execute aerial and satellite surveillance operations, including national flights, regional flights, Tour d’Horizon flights and CEPCO/Super</w:t>
            </w:r>
            <w:r w:rsidR="00413B70">
              <w:rPr>
                <w:rFonts w:asciiTheme="minorHAnsi" w:hAnsiTheme="minorHAnsi" w:cstheme="minorHAnsi"/>
                <w:b/>
                <w:sz w:val="20"/>
              </w:rPr>
              <w:t xml:space="preserve"> </w:t>
            </w:r>
            <w:r w:rsidRPr="00413B70">
              <w:rPr>
                <w:rFonts w:asciiTheme="minorHAnsi" w:hAnsiTheme="minorHAnsi" w:cstheme="minorHAnsi"/>
                <w:b/>
                <w:sz w:val="20"/>
              </w:rPr>
              <w:t xml:space="preserve">CEPCO flights, to detect, investigate, gather evidence and monitor spillage of oil and other harmful substances, </w:t>
            </w:r>
            <w:proofErr w:type="gramStart"/>
            <w:r w:rsidRPr="00413B70">
              <w:rPr>
                <w:rFonts w:asciiTheme="minorHAnsi" w:hAnsiTheme="minorHAnsi" w:cstheme="minorHAnsi"/>
                <w:b/>
                <w:sz w:val="20"/>
              </w:rPr>
              <w:t>taking into account</w:t>
            </w:r>
            <w:proofErr w:type="gramEnd"/>
            <w:r w:rsidRPr="00413B70">
              <w:rPr>
                <w:rFonts w:asciiTheme="minorHAnsi" w:hAnsiTheme="minorHAnsi" w:cstheme="minorHAnsi"/>
                <w:b/>
                <w:sz w:val="20"/>
              </w:rPr>
              <w:t xml:space="preserve"> strategic surveillance needs.</w:t>
            </w:r>
          </w:p>
        </w:tc>
        <w:tc>
          <w:tcPr>
            <w:tcW w:w="508" w:type="pct"/>
            <w:shd w:val="clear" w:color="auto" w:fill="FFFFFF"/>
            <w:hideMark/>
          </w:tcPr>
          <w:p w14:paraId="2FDB80AB"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Activities undertaken throughout the year</w:t>
            </w:r>
          </w:p>
        </w:tc>
        <w:tc>
          <w:tcPr>
            <w:tcW w:w="1701" w:type="pct"/>
            <w:shd w:val="clear" w:color="auto" w:fill="FFFFFF"/>
          </w:tcPr>
          <w:p w14:paraId="4F3E20EF" w14:textId="66CB9549"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SUPER CEPCO 2021 coordinated by Norway</w:t>
            </w:r>
          </w:p>
          <w:p w14:paraId="2CD2D246" w14:textId="77777777"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Super CEPCO 2023 cancelled</w:t>
            </w:r>
          </w:p>
          <w:p w14:paraId="6AC54B80" w14:textId="075AA4B7" w:rsidR="009D36ED" w:rsidRPr="00315B7E"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 xml:space="preserve">Super CEPCO in 2025 coordinated by the </w:t>
            </w:r>
            <w:r w:rsidR="00413B70" w:rsidRPr="00413B70">
              <w:rPr>
                <w:rFonts w:asciiTheme="minorHAnsi" w:hAnsiTheme="minorHAnsi" w:cstheme="minorHAnsi"/>
                <w:snapToGrid w:val="0"/>
                <w:sz w:val="20"/>
              </w:rPr>
              <w:t>Netherlands</w:t>
            </w:r>
          </w:p>
        </w:tc>
        <w:tc>
          <w:tcPr>
            <w:tcW w:w="557" w:type="pct"/>
            <w:shd w:val="clear" w:color="auto" w:fill="FFFFFF"/>
            <w:hideMark/>
          </w:tcPr>
          <w:p w14:paraId="3A8B68C7" w14:textId="77777777" w:rsidR="001B0018" w:rsidRDefault="001B0018" w:rsidP="0079403C">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2DEE54FA" w14:textId="6065C034" w:rsidR="009D36ED" w:rsidRPr="00413B70" w:rsidRDefault="009D36ED"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1B0018" w:rsidRPr="00D73834" w14:paraId="38386F36" w14:textId="77777777" w:rsidTr="009D36ED">
        <w:tc>
          <w:tcPr>
            <w:tcW w:w="0" w:type="auto"/>
            <w:hideMark/>
          </w:tcPr>
          <w:p w14:paraId="314B3B27" w14:textId="77777777" w:rsidR="001B0018" w:rsidRPr="00413B70" w:rsidRDefault="001B0018" w:rsidP="001B0018">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2</w:t>
            </w:r>
          </w:p>
        </w:tc>
        <w:tc>
          <w:tcPr>
            <w:tcW w:w="446" w:type="pct"/>
            <w:hideMark/>
          </w:tcPr>
          <w:p w14:paraId="2E291E76" w14:textId="77777777" w:rsidR="001B0018" w:rsidRPr="00413B70" w:rsidRDefault="001B0018" w:rsidP="001B0018">
            <w:pPr>
              <w:spacing w:after="60"/>
              <w:ind w:hanging="21"/>
              <w:jc w:val="left"/>
              <w:rPr>
                <w:rFonts w:asciiTheme="minorHAnsi" w:hAnsiTheme="minorHAnsi" w:cstheme="minorHAnsi"/>
                <w:b/>
                <w:sz w:val="20"/>
              </w:rPr>
            </w:pPr>
            <w:r w:rsidRPr="00413B70">
              <w:rPr>
                <w:rFonts w:asciiTheme="minorHAnsi" w:hAnsiTheme="minorHAnsi" w:cstheme="minorHAnsi"/>
                <w:b/>
                <w:sz w:val="20"/>
              </w:rPr>
              <w:t>A.1</w:t>
            </w:r>
          </w:p>
        </w:tc>
        <w:tc>
          <w:tcPr>
            <w:tcW w:w="1619" w:type="pct"/>
          </w:tcPr>
          <w:p w14:paraId="76A1E129" w14:textId="2E43BCC7" w:rsidR="001B0018" w:rsidRPr="00413B70" w:rsidRDefault="001B0018" w:rsidP="001B0018">
            <w:pPr>
              <w:spacing w:after="60"/>
              <w:ind w:hanging="21"/>
              <w:jc w:val="left"/>
              <w:rPr>
                <w:rFonts w:asciiTheme="minorHAnsi" w:hAnsiTheme="minorHAnsi" w:cstheme="minorHAnsi"/>
                <w:snapToGrid w:val="0"/>
                <w:sz w:val="20"/>
              </w:rPr>
            </w:pPr>
            <w:r w:rsidRPr="00413B70">
              <w:rPr>
                <w:rFonts w:asciiTheme="minorHAnsi" w:hAnsiTheme="minorHAnsi" w:cstheme="minorHAnsi"/>
                <w:b/>
                <w:sz w:val="20"/>
              </w:rPr>
              <w:t>Maintain coverage and efficiency of aerial surveillance and analyse strategically surveillance needs, inter alia based on an evaluation of existing data sets of detections of observed oil pollution and other substances.</w:t>
            </w:r>
          </w:p>
        </w:tc>
        <w:tc>
          <w:tcPr>
            <w:tcW w:w="508" w:type="pct"/>
          </w:tcPr>
          <w:p w14:paraId="3B47C9D2" w14:textId="77777777" w:rsidR="001B0018" w:rsidRPr="00413B70" w:rsidRDefault="001B0018" w:rsidP="001B0018">
            <w:pPr>
              <w:tabs>
                <w:tab w:val="left" w:pos="720"/>
              </w:tabs>
              <w:spacing w:before="20" w:after="20"/>
              <w:jc w:val="left"/>
              <w:rPr>
                <w:rFonts w:asciiTheme="minorHAnsi" w:hAnsiTheme="minorHAnsi" w:cstheme="minorHAnsi"/>
                <w:snapToGrid w:val="0"/>
                <w:sz w:val="20"/>
              </w:rPr>
            </w:pPr>
          </w:p>
        </w:tc>
        <w:tc>
          <w:tcPr>
            <w:tcW w:w="1701" w:type="pct"/>
            <w:hideMark/>
          </w:tcPr>
          <w:p w14:paraId="0FBD62CD" w14:textId="0BB70F17" w:rsidR="001B0018" w:rsidRPr="00315B7E" w:rsidRDefault="001B0018" w:rsidP="001B0018">
            <w:pPr>
              <w:tabs>
                <w:tab w:val="left" w:pos="720"/>
              </w:tabs>
              <w:jc w:val="left"/>
              <w:rPr>
                <w:rFonts w:asciiTheme="minorHAnsi" w:hAnsiTheme="minorHAnsi" w:cstheme="minorHAnsi"/>
                <w:snapToGrid w:val="0"/>
                <w:sz w:val="20"/>
              </w:rPr>
            </w:pPr>
            <w:r w:rsidRPr="00315B7E">
              <w:rPr>
                <w:rFonts w:asciiTheme="minorHAnsi" w:hAnsiTheme="minorHAnsi" w:cstheme="minorHAnsi"/>
                <w:snapToGrid w:val="0"/>
                <w:sz w:val="20"/>
              </w:rPr>
              <w:t>CleanSeaNet (EU EMSA)</w:t>
            </w:r>
          </w:p>
          <w:p w14:paraId="6F841648" w14:textId="12EC0052" w:rsidR="001B0018" w:rsidRPr="00315B7E" w:rsidRDefault="001B0018" w:rsidP="001B0018">
            <w:pPr>
              <w:tabs>
                <w:tab w:val="left" w:pos="720"/>
              </w:tabs>
              <w:jc w:val="left"/>
              <w:rPr>
                <w:rFonts w:asciiTheme="minorHAnsi" w:hAnsiTheme="minorHAnsi" w:cstheme="minorHAnsi"/>
                <w:snapToGrid w:val="0"/>
                <w:sz w:val="20"/>
              </w:rPr>
            </w:pPr>
            <w:r w:rsidRPr="00315B7E">
              <w:rPr>
                <w:rFonts w:asciiTheme="minorHAnsi" w:hAnsiTheme="minorHAnsi" w:cstheme="minorHAnsi"/>
                <w:snapToGrid w:val="0"/>
                <w:sz w:val="20"/>
              </w:rPr>
              <w:t>Fisheries (EU EFCA)</w:t>
            </w:r>
          </w:p>
          <w:p w14:paraId="3957B0C2" w14:textId="5FB48420" w:rsidR="001B0018" w:rsidRPr="00413B70" w:rsidRDefault="001B0018" w:rsidP="001B0018">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Aerial Surveillance EAP</w:t>
            </w:r>
          </w:p>
          <w:p w14:paraId="42AC7D8D" w14:textId="77ADF50F" w:rsidR="001B0018" w:rsidRPr="00413B70" w:rsidRDefault="001B0018" w:rsidP="001B0018">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MAVI Workshop in 2021</w:t>
            </w:r>
          </w:p>
          <w:p w14:paraId="7438A450" w14:textId="679F2753" w:rsidR="001B0018" w:rsidRPr="00413B70" w:rsidRDefault="001B0018" w:rsidP="001B0018">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MAVI WGs covering surveillance of air emissions</w:t>
            </w:r>
          </w:p>
        </w:tc>
        <w:tc>
          <w:tcPr>
            <w:tcW w:w="557" w:type="pct"/>
          </w:tcPr>
          <w:p w14:paraId="2F34BFC5"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3C048294" w14:textId="15ADBF30" w:rsidR="001B0018" w:rsidRPr="00413B70" w:rsidRDefault="001B0018" w:rsidP="001B0018">
            <w:pPr>
              <w:jc w:val="left"/>
              <w:rPr>
                <w:rFonts w:asciiTheme="minorHAnsi" w:hAnsiTheme="minorHAnsi" w:cstheme="minorHAnsi"/>
                <w:sz w:val="20"/>
              </w:rPr>
            </w:pPr>
            <w:r w:rsidRPr="00413B70">
              <w:rPr>
                <w:rFonts w:asciiTheme="minorHAnsi" w:hAnsiTheme="minorHAnsi" w:cstheme="minorHAnsi"/>
                <w:snapToGrid w:val="0"/>
                <w:sz w:val="20"/>
              </w:rPr>
              <w:t>Ongoing</w:t>
            </w:r>
          </w:p>
        </w:tc>
      </w:tr>
      <w:tr w:rsidR="001B0018" w:rsidRPr="00D73834" w14:paraId="4D951405" w14:textId="77777777" w:rsidTr="009D36ED">
        <w:tc>
          <w:tcPr>
            <w:tcW w:w="0" w:type="auto"/>
            <w:hideMark/>
          </w:tcPr>
          <w:p w14:paraId="680F3CD0" w14:textId="77777777" w:rsidR="001B0018" w:rsidRPr="00413B70" w:rsidRDefault="001B0018" w:rsidP="001B0018">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3</w:t>
            </w:r>
          </w:p>
        </w:tc>
        <w:tc>
          <w:tcPr>
            <w:tcW w:w="446" w:type="pct"/>
            <w:hideMark/>
          </w:tcPr>
          <w:p w14:paraId="2B9CDB5E" w14:textId="77777777" w:rsidR="001B0018" w:rsidRPr="00413B70" w:rsidRDefault="001B0018" w:rsidP="001B0018">
            <w:pPr>
              <w:spacing w:after="60"/>
              <w:ind w:hanging="21"/>
              <w:jc w:val="left"/>
              <w:rPr>
                <w:rFonts w:asciiTheme="minorHAnsi" w:hAnsiTheme="minorHAnsi" w:cstheme="minorHAnsi"/>
                <w:b/>
                <w:sz w:val="20"/>
              </w:rPr>
            </w:pPr>
            <w:r w:rsidRPr="00413B70">
              <w:rPr>
                <w:rFonts w:asciiTheme="minorHAnsi" w:hAnsiTheme="minorHAnsi" w:cstheme="minorHAnsi"/>
                <w:b/>
                <w:sz w:val="20"/>
              </w:rPr>
              <w:t>A.3</w:t>
            </w:r>
          </w:p>
          <w:p w14:paraId="3B987CE4" w14:textId="77777777" w:rsidR="001B0018" w:rsidRPr="00413B70" w:rsidRDefault="001B0018" w:rsidP="001B0018">
            <w:pPr>
              <w:spacing w:after="60"/>
              <w:ind w:hanging="21"/>
              <w:jc w:val="left"/>
              <w:rPr>
                <w:rFonts w:asciiTheme="minorHAnsi" w:hAnsiTheme="minorHAnsi" w:cstheme="minorHAnsi"/>
                <w:b/>
                <w:sz w:val="20"/>
              </w:rPr>
            </w:pPr>
            <w:r w:rsidRPr="00413B70">
              <w:rPr>
                <w:rFonts w:asciiTheme="minorHAnsi" w:hAnsiTheme="minorHAnsi" w:cstheme="minorHAnsi"/>
                <w:b/>
                <w:sz w:val="20"/>
              </w:rPr>
              <w:t>A.4</w:t>
            </w:r>
          </w:p>
          <w:p w14:paraId="63FC0534" w14:textId="77777777" w:rsidR="001B0018" w:rsidRPr="00413B70" w:rsidRDefault="001B0018" w:rsidP="001B0018">
            <w:pPr>
              <w:spacing w:after="60"/>
              <w:ind w:hanging="21"/>
              <w:jc w:val="left"/>
              <w:rPr>
                <w:rFonts w:asciiTheme="minorHAnsi" w:hAnsiTheme="minorHAnsi" w:cstheme="minorHAnsi"/>
                <w:b/>
                <w:sz w:val="20"/>
              </w:rPr>
            </w:pPr>
            <w:r w:rsidRPr="00413B70">
              <w:rPr>
                <w:rFonts w:asciiTheme="minorHAnsi" w:hAnsiTheme="minorHAnsi" w:cstheme="minorHAnsi"/>
                <w:b/>
                <w:sz w:val="20"/>
              </w:rPr>
              <w:t>A.5</w:t>
            </w:r>
          </w:p>
        </w:tc>
        <w:tc>
          <w:tcPr>
            <w:tcW w:w="1619" w:type="pct"/>
            <w:hideMark/>
          </w:tcPr>
          <w:p w14:paraId="56607594" w14:textId="77777777" w:rsidR="001B0018" w:rsidRPr="00413B70" w:rsidRDefault="001B0018" w:rsidP="001B0018">
            <w:pPr>
              <w:spacing w:after="60"/>
              <w:ind w:hanging="21"/>
              <w:jc w:val="left"/>
              <w:rPr>
                <w:rFonts w:asciiTheme="minorHAnsi" w:hAnsiTheme="minorHAnsi" w:cstheme="minorHAnsi"/>
                <w:b/>
                <w:sz w:val="20"/>
              </w:rPr>
            </w:pPr>
            <w:r w:rsidRPr="00413B70">
              <w:rPr>
                <w:rFonts w:asciiTheme="minorHAnsi" w:hAnsiTheme="minorHAnsi" w:cstheme="minorHAnsi"/>
                <w:b/>
                <w:sz w:val="20"/>
              </w:rPr>
              <w:t>Consider developing minimum recommendations on surveillance operations in the Bonn Agreement area and outcomes expected (MARPOL VI, Remote Piloted Aircraft Systems).</w:t>
            </w:r>
          </w:p>
        </w:tc>
        <w:tc>
          <w:tcPr>
            <w:tcW w:w="508" w:type="pct"/>
          </w:tcPr>
          <w:p w14:paraId="4D8B98DD" w14:textId="77777777" w:rsidR="001B0018" w:rsidRPr="00413B70" w:rsidRDefault="001B0018" w:rsidP="001B0018">
            <w:pPr>
              <w:tabs>
                <w:tab w:val="left" w:pos="720"/>
              </w:tabs>
              <w:spacing w:before="20" w:after="20"/>
              <w:jc w:val="left"/>
              <w:rPr>
                <w:rFonts w:asciiTheme="minorHAnsi" w:hAnsiTheme="minorHAnsi" w:cstheme="minorHAnsi"/>
                <w:snapToGrid w:val="0"/>
                <w:sz w:val="20"/>
              </w:rPr>
            </w:pPr>
          </w:p>
        </w:tc>
        <w:tc>
          <w:tcPr>
            <w:tcW w:w="1701" w:type="pct"/>
          </w:tcPr>
          <w:p w14:paraId="0F70CAFC" w14:textId="77777777" w:rsidR="001B0018" w:rsidRPr="00413B70" w:rsidRDefault="001B0018" w:rsidP="001B0018">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EU started with operational RPAS service.</w:t>
            </w:r>
          </w:p>
          <w:p w14:paraId="13957A2D" w14:textId="77777777" w:rsidR="001B0018" w:rsidRPr="00413B70" w:rsidRDefault="001B0018" w:rsidP="001B0018">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Establishment of MARPOL Annex VI WG on strategic and operational aspects (MAVI SOWG); and on technical issues (MAVI TWG)</w:t>
            </w:r>
          </w:p>
          <w:p w14:paraId="15C1C3B5" w14:textId="77777777" w:rsidR="001B0018" w:rsidRPr="00413B70" w:rsidRDefault="001B0018" w:rsidP="001B0018">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11 intersessional meetings (22-23), 6 (23-24) and 6 (24-25) of MAVI WGs: actions, legal recommendations and project proposal</w:t>
            </w:r>
          </w:p>
          <w:p w14:paraId="457DA97B" w14:textId="3F4A73D8" w:rsidR="001B0018" w:rsidRPr="00413B70" w:rsidRDefault="001B0018" w:rsidP="001B0018">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Online module training for TdH aircrews</w:t>
            </w:r>
          </w:p>
        </w:tc>
        <w:tc>
          <w:tcPr>
            <w:tcW w:w="557" w:type="pct"/>
            <w:hideMark/>
          </w:tcPr>
          <w:p w14:paraId="318D2F3C"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0671A14C" w14:textId="1059CEEA" w:rsidR="001B0018" w:rsidRPr="00413B70" w:rsidRDefault="001B0018" w:rsidP="001B0018">
            <w:pPr>
              <w:jc w:val="left"/>
              <w:rPr>
                <w:rFonts w:asciiTheme="minorHAnsi" w:hAnsiTheme="minorHAnsi" w:cstheme="minorHAnsi"/>
                <w:sz w:val="20"/>
              </w:rPr>
            </w:pPr>
            <w:r w:rsidRPr="00413B70">
              <w:rPr>
                <w:rFonts w:asciiTheme="minorHAnsi" w:hAnsiTheme="minorHAnsi" w:cstheme="minorHAnsi"/>
                <w:snapToGrid w:val="0"/>
                <w:sz w:val="20"/>
              </w:rPr>
              <w:t>Ongoing</w:t>
            </w:r>
          </w:p>
        </w:tc>
      </w:tr>
      <w:tr w:rsidR="009D36ED" w:rsidRPr="00D73834" w14:paraId="41ADC35F" w14:textId="77777777" w:rsidTr="009D36ED">
        <w:tc>
          <w:tcPr>
            <w:tcW w:w="0" w:type="auto"/>
            <w:hideMark/>
          </w:tcPr>
          <w:p w14:paraId="6B2DEB37" w14:textId="77777777" w:rsidR="009D36ED" w:rsidRPr="00413B70" w:rsidRDefault="009D36ED"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lastRenderedPageBreak/>
              <w:t>4</w:t>
            </w:r>
          </w:p>
        </w:tc>
        <w:tc>
          <w:tcPr>
            <w:tcW w:w="446" w:type="pct"/>
            <w:hideMark/>
          </w:tcPr>
          <w:p w14:paraId="5BA5904B"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A.2</w:t>
            </w:r>
          </w:p>
        </w:tc>
        <w:tc>
          <w:tcPr>
            <w:tcW w:w="1619" w:type="pct"/>
          </w:tcPr>
          <w:p w14:paraId="799D7C10"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Maintain an efficient standard of monitoring and reporting, utilising the appropriate system to report detected pollution to the Bonn Agreement.</w:t>
            </w:r>
          </w:p>
          <w:p w14:paraId="29AD6474" w14:textId="77777777" w:rsidR="009D36ED" w:rsidRPr="00413B70" w:rsidRDefault="009D36ED" w:rsidP="0079403C">
            <w:pPr>
              <w:tabs>
                <w:tab w:val="left" w:pos="770"/>
              </w:tabs>
              <w:spacing w:before="20" w:after="20"/>
              <w:jc w:val="left"/>
              <w:rPr>
                <w:rFonts w:asciiTheme="minorHAnsi" w:hAnsiTheme="minorHAnsi" w:cstheme="minorHAnsi"/>
                <w:i/>
                <w:snapToGrid w:val="0"/>
                <w:sz w:val="20"/>
              </w:rPr>
            </w:pPr>
          </w:p>
        </w:tc>
        <w:tc>
          <w:tcPr>
            <w:tcW w:w="508" w:type="pct"/>
            <w:hideMark/>
          </w:tcPr>
          <w:p w14:paraId="7BF38CAE"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Activities undertaken when required</w:t>
            </w:r>
          </w:p>
        </w:tc>
        <w:tc>
          <w:tcPr>
            <w:tcW w:w="1701" w:type="pct"/>
          </w:tcPr>
          <w:p w14:paraId="69341A52" w14:textId="27B244E1"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New aerial surveillance reporting format implemented in 2020</w:t>
            </w:r>
          </w:p>
          <w:p w14:paraId="0EE2A72A" w14:textId="77777777"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Follow up of the reporting under the Ship Source Pollution Directive</w:t>
            </w:r>
          </w:p>
          <w:p w14:paraId="1D291A7D" w14:textId="79CD1061"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Harmonisation of Aerial Surveillance Reporting Format with REMPEC &amp; HELCOM pending finalisation of SSPD.</w:t>
            </w:r>
          </w:p>
        </w:tc>
        <w:tc>
          <w:tcPr>
            <w:tcW w:w="557" w:type="pct"/>
            <w:hideMark/>
          </w:tcPr>
          <w:p w14:paraId="6B80124E"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4CE9DF29" w14:textId="2B4B3DC3" w:rsidR="009D36ED"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9D36ED" w:rsidRPr="00D73834" w14:paraId="2D6BE3E3" w14:textId="77777777" w:rsidTr="009D36ED">
        <w:tc>
          <w:tcPr>
            <w:tcW w:w="0" w:type="auto"/>
            <w:hideMark/>
          </w:tcPr>
          <w:p w14:paraId="422CE389" w14:textId="77777777" w:rsidR="009D36ED" w:rsidRPr="00413B70" w:rsidRDefault="009D36ED"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5</w:t>
            </w:r>
          </w:p>
        </w:tc>
        <w:tc>
          <w:tcPr>
            <w:tcW w:w="446" w:type="pct"/>
            <w:hideMark/>
          </w:tcPr>
          <w:p w14:paraId="4F21D84F"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A.3</w:t>
            </w:r>
          </w:p>
        </w:tc>
        <w:tc>
          <w:tcPr>
            <w:tcW w:w="1619" w:type="pct"/>
            <w:hideMark/>
          </w:tcPr>
          <w:p w14:paraId="60742ADC" w14:textId="77777777" w:rsidR="009D36ED" w:rsidRPr="00413B70" w:rsidRDefault="009D36ED" w:rsidP="0079403C">
            <w:pPr>
              <w:tabs>
                <w:tab w:val="left" w:pos="770"/>
              </w:tabs>
              <w:spacing w:before="20" w:after="20"/>
              <w:jc w:val="left"/>
              <w:rPr>
                <w:rFonts w:asciiTheme="minorHAnsi" w:hAnsiTheme="minorHAnsi" w:cstheme="minorHAnsi"/>
                <w:b/>
                <w:snapToGrid w:val="0"/>
                <w:sz w:val="20"/>
              </w:rPr>
            </w:pPr>
            <w:r w:rsidRPr="00413B70">
              <w:rPr>
                <w:rFonts w:asciiTheme="minorHAnsi" w:hAnsiTheme="minorHAnsi" w:cstheme="minorHAnsi"/>
                <w:b/>
                <w:sz w:val="20"/>
              </w:rPr>
              <w:t xml:space="preserve">In cooperation with the European Maritime Safety Agency make optimum use of satellite images, e.g. through CleanSeaNet, </w:t>
            </w:r>
            <w:proofErr w:type="gramStart"/>
            <w:r w:rsidRPr="00413B70">
              <w:rPr>
                <w:rFonts w:asciiTheme="minorHAnsi" w:hAnsiTheme="minorHAnsi" w:cstheme="minorHAnsi"/>
                <w:b/>
                <w:sz w:val="20"/>
              </w:rPr>
              <w:t>in order to</w:t>
            </w:r>
            <w:proofErr w:type="gramEnd"/>
            <w:r w:rsidRPr="00413B70">
              <w:rPr>
                <w:rFonts w:asciiTheme="minorHAnsi" w:hAnsiTheme="minorHAnsi" w:cstheme="minorHAnsi"/>
                <w:b/>
                <w:sz w:val="20"/>
              </w:rPr>
              <w:t xml:space="preserve"> follow-up to first alert of detection of possible pollution through aerial surveillance.</w:t>
            </w:r>
          </w:p>
        </w:tc>
        <w:tc>
          <w:tcPr>
            <w:tcW w:w="508" w:type="pct"/>
            <w:hideMark/>
          </w:tcPr>
          <w:p w14:paraId="639D23CB"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Activities undertaken when required</w:t>
            </w:r>
          </w:p>
        </w:tc>
        <w:tc>
          <w:tcPr>
            <w:tcW w:w="1701" w:type="pct"/>
          </w:tcPr>
          <w:p w14:paraId="377D134F" w14:textId="77777777" w:rsidR="00315B7E"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Offshore installations’ position and name included in the CSN reports</w:t>
            </w:r>
          </w:p>
          <w:p w14:paraId="0A258C89" w14:textId="051CA89C" w:rsidR="00315B7E" w:rsidRPr="00413B70" w:rsidRDefault="00315B7E"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OIC Offshore Installations Inventory adopted at OSPAR 23 and added to CSN in 2023.</w:t>
            </w:r>
          </w:p>
          <w:p w14:paraId="0706F17B" w14:textId="77777777" w:rsidR="00315B7E" w:rsidRPr="00413B70" w:rsidRDefault="00315B7E"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OSPAR OIC inventory included as layer in BADIMS.</w:t>
            </w:r>
          </w:p>
          <w:p w14:paraId="67506282" w14:textId="306A9D2E" w:rsidR="009D36ED" w:rsidRPr="00315B7E" w:rsidRDefault="00315B7E"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Further work on layer to allow for interrogation. Currently in place on BADIMS</w:t>
            </w:r>
          </w:p>
        </w:tc>
        <w:tc>
          <w:tcPr>
            <w:tcW w:w="557" w:type="pct"/>
            <w:hideMark/>
          </w:tcPr>
          <w:p w14:paraId="42ECEE44"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4D37716E" w14:textId="167D7CCD" w:rsidR="009D36ED" w:rsidRPr="00413B70" w:rsidRDefault="001B0018" w:rsidP="001B0018">
            <w:pPr>
              <w:tabs>
                <w:tab w:val="left" w:pos="720"/>
              </w:tabs>
              <w:spacing w:before="20" w:after="20"/>
              <w:jc w:val="left"/>
              <w:rPr>
                <w:rFonts w:asciiTheme="minorHAnsi" w:hAnsiTheme="minorHAnsi" w:cstheme="minorHAnsi"/>
                <w:sz w:val="20"/>
              </w:rPr>
            </w:pPr>
            <w:r w:rsidRPr="00413B70">
              <w:rPr>
                <w:rFonts w:asciiTheme="minorHAnsi" w:hAnsiTheme="minorHAnsi" w:cstheme="minorHAnsi"/>
                <w:snapToGrid w:val="0"/>
                <w:sz w:val="20"/>
              </w:rPr>
              <w:t>Ongoing</w:t>
            </w:r>
          </w:p>
        </w:tc>
      </w:tr>
      <w:tr w:rsidR="009D36ED" w:rsidRPr="00D73834" w14:paraId="4864AFC2" w14:textId="77777777" w:rsidTr="009D36ED">
        <w:tc>
          <w:tcPr>
            <w:tcW w:w="0" w:type="auto"/>
            <w:shd w:val="clear" w:color="auto" w:fill="FFFFFF"/>
            <w:hideMark/>
          </w:tcPr>
          <w:p w14:paraId="1F124C9D" w14:textId="77777777" w:rsidR="009D36ED" w:rsidRPr="00413B70" w:rsidRDefault="009D36ED"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6</w:t>
            </w:r>
          </w:p>
        </w:tc>
        <w:tc>
          <w:tcPr>
            <w:tcW w:w="446" w:type="pct"/>
            <w:shd w:val="clear" w:color="auto" w:fill="FFFFFF"/>
            <w:hideMark/>
          </w:tcPr>
          <w:p w14:paraId="1C11F203"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A.3</w:t>
            </w:r>
          </w:p>
        </w:tc>
        <w:tc>
          <w:tcPr>
            <w:tcW w:w="1619" w:type="pct"/>
            <w:shd w:val="clear" w:color="auto" w:fill="FFFFFF"/>
            <w:hideMark/>
          </w:tcPr>
          <w:p w14:paraId="777E21CC" w14:textId="50B398E3" w:rsidR="009D36ED" w:rsidRPr="00413B70" w:rsidRDefault="009D36ED" w:rsidP="0079403C">
            <w:pPr>
              <w:tabs>
                <w:tab w:val="left" w:pos="770"/>
              </w:tabs>
              <w:spacing w:before="20" w:after="20"/>
              <w:jc w:val="left"/>
              <w:rPr>
                <w:rFonts w:asciiTheme="minorHAnsi" w:hAnsiTheme="minorHAnsi" w:cstheme="minorHAnsi"/>
                <w:b/>
                <w:snapToGrid w:val="0"/>
                <w:sz w:val="20"/>
              </w:rPr>
            </w:pPr>
            <w:r w:rsidRPr="00413B70">
              <w:rPr>
                <w:rFonts w:asciiTheme="minorHAnsi" w:hAnsiTheme="minorHAnsi" w:cstheme="minorHAnsi"/>
                <w:b/>
                <w:sz w:val="20"/>
              </w:rPr>
              <w:t xml:space="preserve">Report on and respond to developments of </w:t>
            </w:r>
            <w:r w:rsidR="00413B70" w:rsidRPr="00413B70">
              <w:rPr>
                <w:rFonts w:asciiTheme="minorHAnsi" w:hAnsiTheme="minorHAnsi" w:cstheme="minorHAnsi"/>
                <w:b/>
                <w:sz w:val="20"/>
              </w:rPr>
              <w:t>High-Altitude</w:t>
            </w:r>
            <w:r w:rsidRPr="00413B70">
              <w:rPr>
                <w:rFonts w:asciiTheme="minorHAnsi" w:hAnsiTheme="minorHAnsi" w:cstheme="minorHAnsi"/>
                <w:b/>
                <w:sz w:val="20"/>
              </w:rPr>
              <w:t xml:space="preserve"> Pseudo Satellites (HAPS)and Remote Piloted Aircraft System (RPAS).</w:t>
            </w:r>
          </w:p>
        </w:tc>
        <w:tc>
          <w:tcPr>
            <w:tcW w:w="508" w:type="pct"/>
            <w:shd w:val="clear" w:color="auto" w:fill="FFFFFF"/>
            <w:hideMark/>
          </w:tcPr>
          <w:p w14:paraId="3CE37E9A"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Activities undertaken when required</w:t>
            </w:r>
          </w:p>
        </w:tc>
        <w:tc>
          <w:tcPr>
            <w:tcW w:w="1701" w:type="pct"/>
            <w:shd w:val="clear" w:color="auto" w:fill="FFFFFF"/>
            <w:hideMark/>
          </w:tcPr>
          <w:p w14:paraId="12A7E512" w14:textId="77777777"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EU - HAPS &amp; RPAS</w:t>
            </w:r>
          </w:p>
          <w:p w14:paraId="4E0BAB18" w14:textId="77777777"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BA support to EOS Viewer project proposal</w:t>
            </w:r>
          </w:p>
          <w:p w14:paraId="06924506" w14:textId="01F0AADD"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Inclusion of RPAS detections and flight hours in reporting – pending finalisation of SSPD.</w:t>
            </w:r>
          </w:p>
          <w:p w14:paraId="346EABDB" w14:textId="08D79BDB"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Proposal to BONN 2025 to include RPAS and other platforms.</w:t>
            </w:r>
          </w:p>
        </w:tc>
        <w:tc>
          <w:tcPr>
            <w:tcW w:w="557" w:type="pct"/>
            <w:shd w:val="clear" w:color="auto" w:fill="FFFFFF"/>
            <w:hideMark/>
          </w:tcPr>
          <w:p w14:paraId="67297819"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34753108" w14:textId="0CCBF574" w:rsidR="009D36ED" w:rsidRPr="00413B70" w:rsidRDefault="001B0018" w:rsidP="001B0018">
            <w:pPr>
              <w:jc w:val="left"/>
              <w:rPr>
                <w:rFonts w:asciiTheme="minorHAnsi" w:hAnsiTheme="minorHAnsi" w:cstheme="minorHAnsi"/>
                <w:sz w:val="20"/>
              </w:rPr>
            </w:pPr>
            <w:r w:rsidRPr="00413B70">
              <w:rPr>
                <w:rFonts w:asciiTheme="minorHAnsi" w:hAnsiTheme="minorHAnsi" w:cstheme="minorHAnsi"/>
                <w:snapToGrid w:val="0"/>
                <w:sz w:val="20"/>
              </w:rPr>
              <w:t>Ongoing</w:t>
            </w:r>
            <w:r w:rsidRPr="00413B70">
              <w:rPr>
                <w:rFonts w:asciiTheme="minorHAnsi" w:hAnsiTheme="minorHAnsi" w:cstheme="minorHAnsi"/>
                <w:sz w:val="20"/>
              </w:rPr>
              <w:t xml:space="preserve"> </w:t>
            </w:r>
          </w:p>
        </w:tc>
      </w:tr>
      <w:tr w:rsidR="009D36ED" w:rsidRPr="00D73834" w14:paraId="72E2C261" w14:textId="77777777" w:rsidTr="009D36ED">
        <w:tc>
          <w:tcPr>
            <w:tcW w:w="0" w:type="auto"/>
            <w:shd w:val="clear" w:color="auto" w:fill="FFFFFF"/>
            <w:hideMark/>
          </w:tcPr>
          <w:p w14:paraId="59B7810A" w14:textId="77777777" w:rsidR="009D36ED" w:rsidRPr="00413B70" w:rsidRDefault="009D36ED" w:rsidP="0079403C">
            <w:pPr>
              <w:tabs>
                <w:tab w:val="left" w:pos="720"/>
              </w:tabs>
              <w:spacing w:before="20" w:after="20"/>
              <w:jc w:val="left"/>
              <w:rPr>
                <w:rFonts w:asciiTheme="minorHAnsi" w:hAnsiTheme="minorHAnsi" w:cstheme="minorHAnsi"/>
                <w:b/>
                <w:snapToGrid w:val="0"/>
                <w:sz w:val="20"/>
                <w:highlight w:val="yellow"/>
              </w:rPr>
            </w:pPr>
            <w:r w:rsidRPr="00413B70">
              <w:rPr>
                <w:rFonts w:asciiTheme="minorHAnsi" w:hAnsiTheme="minorHAnsi" w:cstheme="minorHAnsi"/>
                <w:b/>
                <w:snapToGrid w:val="0"/>
                <w:sz w:val="20"/>
              </w:rPr>
              <w:t>7</w:t>
            </w:r>
          </w:p>
        </w:tc>
        <w:tc>
          <w:tcPr>
            <w:tcW w:w="446" w:type="pct"/>
            <w:shd w:val="clear" w:color="auto" w:fill="FFFFFF"/>
            <w:hideMark/>
          </w:tcPr>
          <w:p w14:paraId="6FDE351F"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A.12</w:t>
            </w:r>
          </w:p>
        </w:tc>
        <w:tc>
          <w:tcPr>
            <w:tcW w:w="1619" w:type="pct"/>
            <w:shd w:val="clear" w:color="auto" w:fill="FFFFFF"/>
            <w:hideMark/>
          </w:tcPr>
          <w:p w14:paraId="3AA8D3F5" w14:textId="191313F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 xml:space="preserve">Supporting/promoting the implementation of Traffic Separation </w:t>
            </w:r>
            <w:r w:rsidR="00413B70" w:rsidRPr="00413B70">
              <w:rPr>
                <w:rFonts w:asciiTheme="minorHAnsi" w:hAnsiTheme="minorHAnsi" w:cstheme="minorHAnsi"/>
                <w:b/>
                <w:sz w:val="20"/>
              </w:rPr>
              <w:t>Schemes and</w:t>
            </w:r>
            <w:r w:rsidRPr="00413B70">
              <w:rPr>
                <w:rFonts w:asciiTheme="minorHAnsi" w:hAnsiTheme="minorHAnsi" w:cstheme="minorHAnsi"/>
                <w:b/>
                <w:sz w:val="20"/>
              </w:rPr>
              <w:t xml:space="preserve"> highlight other BE-AWARE recommendations in relation to Vessel Traffic Services, AIS in Windfarms and E-Navigation, to authorities responsible for risk reduction measures.</w:t>
            </w:r>
          </w:p>
        </w:tc>
        <w:tc>
          <w:tcPr>
            <w:tcW w:w="508" w:type="pct"/>
            <w:hideMark/>
          </w:tcPr>
          <w:p w14:paraId="79D834D8" w14:textId="17B3E0BC" w:rsidR="009D36ED" w:rsidRPr="00413B70" w:rsidRDefault="009D36ED" w:rsidP="0079403C">
            <w:pPr>
              <w:tabs>
                <w:tab w:val="left" w:pos="720"/>
              </w:tabs>
              <w:spacing w:before="20" w:after="20"/>
              <w:jc w:val="left"/>
              <w:rPr>
                <w:rFonts w:asciiTheme="minorHAnsi" w:hAnsiTheme="minorHAnsi" w:cstheme="minorHAnsi"/>
                <w:snapToGrid w:val="0"/>
                <w:sz w:val="20"/>
                <w:highlight w:val="yellow"/>
              </w:rPr>
            </w:pPr>
          </w:p>
        </w:tc>
        <w:tc>
          <w:tcPr>
            <w:tcW w:w="1701" w:type="pct"/>
            <w:shd w:val="clear" w:color="auto" w:fill="FFFFFF"/>
            <w:hideMark/>
          </w:tcPr>
          <w:p w14:paraId="12BFDAF0" w14:textId="43306898" w:rsidR="009D36ED" w:rsidRPr="00413B70" w:rsidRDefault="009D36ED"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Ireland, Norway and the Netherlands held workshops and amendments to the Routing Schemes in Norway from 01/06/2021 (categories of ships for TSS; 2 new TSS, etc.)</w:t>
            </w:r>
          </w:p>
        </w:tc>
        <w:tc>
          <w:tcPr>
            <w:tcW w:w="557" w:type="pct"/>
            <w:shd w:val="clear" w:color="auto" w:fill="FFFFFF"/>
            <w:hideMark/>
          </w:tcPr>
          <w:p w14:paraId="5593AFD2"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653EDE03" w14:textId="1DCCFAC9" w:rsidR="009D36ED" w:rsidRPr="00413B70" w:rsidRDefault="001B0018" w:rsidP="001B0018">
            <w:pPr>
              <w:tabs>
                <w:tab w:val="left" w:pos="720"/>
              </w:tabs>
              <w:spacing w:before="20" w:after="20"/>
              <w:jc w:val="left"/>
              <w:rPr>
                <w:rFonts w:asciiTheme="minorHAnsi" w:hAnsiTheme="minorHAnsi" w:cstheme="minorHAnsi"/>
                <w:snapToGrid w:val="0"/>
                <w:sz w:val="20"/>
                <w:highlight w:val="yellow"/>
              </w:rPr>
            </w:pPr>
            <w:r w:rsidRPr="00413B70">
              <w:rPr>
                <w:rFonts w:asciiTheme="minorHAnsi" w:hAnsiTheme="minorHAnsi" w:cstheme="minorHAnsi"/>
                <w:snapToGrid w:val="0"/>
                <w:sz w:val="20"/>
              </w:rPr>
              <w:t>Ongoing</w:t>
            </w:r>
          </w:p>
        </w:tc>
      </w:tr>
      <w:tr w:rsidR="009D36ED" w:rsidRPr="00D73834" w14:paraId="4850DBB1" w14:textId="77777777" w:rsidTr="009D36ED">
        <w:tc>
          <w:tcPr>
            <w:tcW w:w="0" w:type="auto"/>
            <w:shd w:val="clear" w:color="auto" w:fill="FFFFFF"/>
            <w:hideMark/>
          </w:tcPr>
          <w:p w14:paraId="0047FE93" w14:textId="77777777" w:rsidR="009D36ED" w:rsidRPr="00413B70" w:rsidRDefault="009D36ED"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lastRenderedPageBreak/>
              <w:t>8</w:t>
            </w:r>
          </w:p>
        </w:tc>
        <w:tc>
          <w:tcPr>
            <w:tcW w:w="446" w:type="pct"/>
            <w:shd w:val="clear" w:color="auto" w:fill="FFFFFF"/>
            <w:hideMark/>
          </w:tcPr>
          <w:p w14:paraId="64FE0047"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A.6</w:t>
            </w:r>
          </w:p>
          <w:p w14:paraId="7F5D8A71" w14:textId="77777777" w:rsidR="009D36ED" w:rsidRPr="00413B70" w:rsidRDefault="009D36ED" w:rsidP="0079403C">
            <w:pPr>
              <w:tabs>
                <w:tab w:val="left" w:pos="770"/>
              </w:tabs>
              <w:spacing w:before="20" w:after="20"/>
              <w:jc w:val="left"/>
              <w:rPr>
                <w:rFonts w:asciiTheme="minorHAnsi" w:hAnsiTheme="minorHAnsi" w:cstheme="minorHAnsi"/>
                <w:b/>
                <w:sz w:val="20"/>
              </w:rPr>
            </w:pPr>
            <w:proofErr w:type="gramStart"/>
            <w:r w:rsidRPr="00413B70">
              <w:rPr>
                <w:rFonts w:asciiTheme="minorHAnsi" w:hAnsiTheme="minorHAnsi" w:cstheme="minorHAnsi"/>
                <w:b/>
                <w:sz w:val="20"/>
              </w:rPr>
              <w:t>B.I</w:t>
            </w:r>
            <w:proofErr w:type="gramEnd"/>
          </w:p>
        </w:tc>
        <w:tc>
          <w:tcPr>
            <w:tcW w:w="1619" w:type="pct"/>
            <w:shd w:val="clear" w:color="auto" w:fill="FFFFFF"/>
          </w:tcPr>
          <w:p w14:paraId="429519CC"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Maintain and keep up to date the Aerial Operations Handbook.</w:t>
            </w:r>
          </w:p>
          <w:p w14:paraId="6D0B6D9D" w14:textId="77777777" w:rsidR="009D36ED" w:rsidRPr="00413B70" w:rsidRDefault="009D36ED" w:rsidP="0079403C">
            <w:pPr>
              <w:tabs>
                <w:tab w:val="left" w:pos="770"/>
              </w:tabs>
              <w:spacing w:before="20" w:after="20"/>
              <w:jc w:val="left"/>
              <w:rPr>
                <w:rFonts w:asciiTheme="minorHAnsi" w:hAnsiTheme="minorHAnsi" w:cstheme="minorHAnsi"/>
                <w:snapToGrid w:val="0"/>
                <w:sz w:val="20"/>
              </w:rPr>
            </w:pPr>
          </w:p>
        </w:tc>
        <w:tc>
          <w:tcPr>
            <w:tcW w:w="508" w:type="pct"/>
            <w:shd w:val="clear" w:color="auto" w:fill="FFFFFF"/>
            <w:hideMark/>
          </w:tcPr>
          <w:p w14:paraId="6A791D50"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Annually at OTSOPA</w:t>
            </w:r>
          </w:p>
        </w:tc>
        <w:tc>
          <w:tcPr>
            <w:tcW w:w="1701" w:type="pct"/>
            <w:shd w:val="clear" w:color="auto" w:fill="FFFFFF"/>
          </w:tcPr>
          <w:p w14:paraId="6AEF4D68" w14:textId="26DF8CAF"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Annual updates to AOH published to the Bonn Agreement Website.</w:t>
            </w:r>
          </w:p>
        </w:tc>
        <w:tc>
          <w:tcPr>
            <w:tcW w:w="557" w:type="pct"/>
            <w:shd w:val="clear" w:color="auto" w:fill="FFFFFF"/>
            <w:hideMark/>
          </w:tcPr>
          <w:p w14:paraId="16FA5B30" w14:textId="77777777" w:rsidR="001B0018" w:rsidRDefault="009D36ED"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 xml:space="preserve"> </w:t>
            </w:r>
            <w:r w:rsidR="001B0018">
              <w:rPr>
                <w:rFonts w:asciiTheme="minorHAnsi" w:hAnsiTheme="minorHAnsi" w:cstheme="minorHAnsi"/>
                <w:snapToGrid w:val="0"/>
                <w:sz w:val="20"/>
              </w:rPr>
              <w:t>On track</w:t>
            </w:r>
          </w:p>
          <w:p w14:paraId="797980AB" w14:textId="1D8907D9" w:rsidR="009D36ED"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9D36ED" w:rsidRPr="00D73834" w14:paraId="54D95BE3" w14:textId="77777777" w:rsidTr="009D36ED">
        <w:tc>
          <w:tcPr>
            <w:tcW w:w="0" w:type="auto"/>
            <w:hideMark/>
          </w:tcPr>
          <w:p w14:paraId="6108EFAA" w14:textId="77777777" w:rsidR="009D36ED" w:rsidRPr="00413B70" w:rsidRDefault="009D36ED"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9</w:t>
            </w:r>
          </w:p>
        </w:tc>
        <w:tc>
          <w:tcPr>
            <w:tcW w:w="446" w:type="pct"/>
            <w:hideMark/>
          </w:tcPr>
          <w:p w14:paraId="2EDF28D9" w14:textId="77777777" w:rsidR="009D36ED" w:rsidRPr="00413B70" w:rsidRDefault="009D36ED" w:rsidP="0079403C">
            <w:pPr>
              <w:spacing w:after="60"/>
              <w:ind w:left="-21"/>
              <w:jc w:val="left"/>
              <w:rPr>
                <w:rFonts w:asciiTheme="minorHAnsi" w:hAnsiTheme="minorHAnsi" w:cstheme="minorHAnsi"/>
                <w:b/>
                <w:sz w:val="20"/>
              </w:rPr>
            </w:pPr>
            <w:r w:rsidRPr="00413B70">
              <w:rPr>
                <w:rFonts w:asciiTheme="minorHAnsi" w:hAnsiTheme="minorHAnsi" w:cstheme="minorHAnsi"/>
                <w:b/>
                <w:sz w:val="20"/>
              </w:rPr>
              <w:t>A.6</w:t>
            </w:r>
          </w:p>
          <w:p w14:paraId="422EC960" w14:textId="77777777" w:rsidR="009D36ED" w:rsidRPr="00413B70" w:rsidRDefault="009D36ED" w:rsidP="0079403C">
            <w:pPr>
              <w:spacing w:after="60"/>
              <w:ind w:left="-21"/>
              <w:jc w:val="left"/>
              <w:rPr>
                <w:rFonts w:asciiTheme="minorHAnsi" w:hAnsiTheme="minorHAnsi" w:cstheme="minorHAnsi"/>
                <w:b/>
                <w:sz w:val="20"/>
              </w:rPr>
            </w:pPr>
            <w:proofErr w:type="gramStart"/>
            <w:r w:rsidRPr="00413B70">
              <w:rPr>
                <w:rFonts w:asciiTheme="minorHAnsi" w:hAnsiTheme="minorHAnsi" w:cstheme="minorHAnsi"/>
                <w:b/>
                <w:sz w:val="20"/>
              </w:rPr>
              <w:t>B.I</w:t>
            </w:r>
            <w:proofErr w:type="gramEnd"/>
          </w:p>
        </w:tc>
        <w:tc>
          <w:tcPr>
            <w:tcW w:w="1619" w:type="pct"/>
          </w:tcPr>
          <w:p w14:paraId="75BCEAAB" w14:textId="3EF9C2EB" w:rsidR="009D36ED" w:rsidRPr="00413B70" w:rsidRDefault="009D36ED" w:rsidP="00146C07">
            <w:pPr>
              <w:spacing w:after="60"/>
              <w:ind w:left="-21"/>
              <w:jc w:val="left"/>
              <w:rPr>
                <w:rFonts w:asciiTheme="minorHAnsi" w:hAnsiTheme="minorHAnsi" w:cstheme="minorHAnsi"/>
                <w:snapToGrid w:val="0"/>
                <w:sz w:val="20"/>
              </w:rPr>
            </w:pPr>
            <w:r w:rsidRPr="00413B70">
              <w:rPr>
                <w:rFonts w:asciiTheme="minorHAnsi" w:hAnsiTheme="minorHAnsi" w:cstheme="minorHAnsi"/>
                <w:b/>
                <w:sz w:val="20"/>
              </w:rPr>
              <w:t>Maintain the online version of the Bonn Agreement Oil Appearance Code (BAOAC), including photo atlas, for air crew and expert level as part of the Bonn Agreement website redevelopment.</w:t>
            </w:r>
          </w:p>
        </w:tc>
        <w:tc>
          <w:tcPr>
            <w:tcW w:w="508" w:type="pct"/>
            <w:hideMark/>
          </w:tcPr>
          <w:p w14:paraId="6B839DAD"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Activities undertaken when required</w:t>
            </w:r>
          </w:p>
        </w:tc>
        <w:tc>
          <w:tcPr>
            <w:tcW w:w="1701" w:type="pct"/>
          </w:tcPr>
          <w:p w14:paraId="74E881C3" w14:textId="77777777"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Reference imagery of Drilling Mud submitted at EAP AS 2023 to be incorporated into BAOAC.</w:t>
            </w:r>
          </w:p>
          <w:p w14:paraId="7A012337" w14:textId="27AE3F64"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OIC Invited to submit further images.</w:t>
            </w:r>
          </w:p>
        </w:tc>
        <w:tc>
          <w:tcPr>
            <w:tcW w:w="557" w:type="pct"/>
            <w:hideMark/>
          </w:tcPr>
          <w:p w14:paraId="452FD884"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18B0E334" w14:textId="5792251B" w:rsidR="009D36ED"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9D36ED" w:rsidRPr="00D73834" w14:paraId="6C012586" w14:textId="77777777" w:rsidTr="009D36ED">
        <w:tc>
          <w:tcPr>
            <w:tcW w:w="0" w:type="auto"/>
            <w:hideMark/>
          </w:tcPr>
          <w:p w14:paraId="31A6F6BF" w14:textId="77777777" w:rsidR="009D36ED" w:rsidRPr="00413B70" w:rsidRDefault="009D36ED"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10</w:t>
            </w:r>
          </w:p>
        </w:tc>
        <w:tc>
          <w:tcPr>
            <w:tcW w:w="446" w:type="pct"/>
          </w:tcPr>
          <w:p w14:paraId="6D54CAB6" w14:textId="77777777" w:rsidR="009D36ED" w:rsidRPr="00413B70" w:rsidRDefault="009D36ED" w:rsidP="0079403C">
            <w:pPr>
              <w:tabs>
                <w:tab w:val="left" w:pos="-21"/>
              </w:tabs>
              <w:spacing w:after="60"/>
              <w:jc w:val="left"/>
              <w:rPr>
                <w:rFonts w:asciiTheme="minorHAnsi" w:hAnsiTheme="minorHAnsi" w:cstheme="minorHAnsi"/>
                <w:b/>
                <w:sz w:val="20"/>
              </w:rPr>
            </w:pPr>
            <w:r w:rsidRPr="00413B70">
              <w:rPr>
                <w:rFonts w:asciiTheme="minorHAnsi" w:hAnsiTheme="minorHAnsi" w:cstheme="minorHAnsi"/>
                <w:b/>
                <w:sz w:val="20"/>
              </w:rPr>
              <w:t>A.4</w:t>
            </w:r>
          </w:p>
          <w:p w14:paraId="68F19356" w14:textId="77777777" w:rsidR="009D36ED" w:rsidRPr="00413B70" w:rsidRDefault="009D36ED" w:rsidP="0079403C">
            <w:pPr>
              <w:tabs>
                <w:tab w:val="left" w:pos="-21"/>
              </w:tabs>
              <w:spacing w:after="60"/>
              <w:jc w:val="left"/>
              <w:rPr>
                <w:rFonts w:asciiTheme="minorHAnsi" w:hAnsiTheme="minorHAnsi" w:cstheme="minorHAnsi"/>
                <w:b/>
                <w:sz w:val="20"/>
              </w:rPr>
            </w:pPr>
            <w:r w:rsidRPr="00413B70">
              <w:rPr>
                <w:rFonts w:asciiTheme="minorHAnsi" w:hAnsiTheme="minorHAnsi" w:cstheme="minorHAnsi"/>
                <w:b/>
                <w:sz w:val="20"/>
              </w:rPr>
              <w:t>A.5</w:t>
            </w:r>
          </w:p>
          <w:p w14:paraId="16AE47C0" w14:textId="77777777" w:rsidR="009D36ED" w:rsidRPr="00413B70" w:rsidRDefault="009D36ED" w:rsidP="0079403C">
            <w:pPr>
              <w:tabs>
                <w:tab w:val="left" w:pos="-21"/>
              </w:tabs>
              <w:spacing w:after="60"/>
              <w:jc w:val="left"/>
              <w:rPr>
                <w:rFonts w:asciiTheme="minorHAnsi" w:hAnsiTheme="minorHAnsi" w:cstheme="minorHAnsi"/>
                <w:b/>
                <w:sz w:val="20"/>
              </w:rPr>
            </w:pPr>
            <w:r w:rsidRPr="00413B70">
              <w:rPr>
                <w:rFonts w:asciiTheme="minorHAnsi" w:hAnsiTheme="minorHAnsi" w:cstheme="minorHAnsi"/>
                <w:b/>
                <w:sz w:val="20"/>
              </w:rPr>
              <w:t>A.10</w:t>
            </w:r>
          </w:p>
        </w:tc>
        <w:tc>
          <w:tcPr>
            <w:tcW w:w="1619" w:type="pct"/>
            <w:hideMark/>
          </w:tcPr>
          <w:p w14:paraId="37034DBE" w14:textId="77777777" w:rsidR="009D36ED" w:rsidRPr="00413B70" w:rsidRDefault="009D36ED" w:rsidP="0079403C">
            <w:pPr>
              <w:tabs>
                <w:tab w:val="left" w:pos="-21"/>
              </w:tabs>
              <w:spacing w:after="60"/>
              <w:jc w:val="left"/>
              <w:rPr>
                <w:rFonts w:asciiTheme="minorHAnsi" w:hAnsiTheme="minorHAnsi" w:cstheme="minorHAnsi"/>
                <w:b/>
                <w:sz w:val="20"/>
              </w:rPr>
            </w:pPr>
            <w:r w:rsidRPr="00413B70">
              <w:rPr>
                <w:rFonts w:asciiTheme="minorHAnsi" w:hAnsiTheme="minorHAnsi" w:cstheme="minorHAnsi"/>
                <w:b/>
                <w:sz w:val="20"/>
              </w:rPr>
              <w:t>Strengthen and expand cooperation on the detection and observation of offences in relation to MARPOL Annexes and the contribution to enforcement and liaise with IMO.</w:t>
            </w:r>
          </w:p>
        </w:tc>
        <w:tc>
          <w:tcPr>
            <w:tcW w:w="508" w:type="pct"/>
            <w:hideMark/>
          </w:tcPr>
          <w:p w14:paraId="14CA4652" w14:textId="0E98D1C3" w:rsidR="009D36ED" w:rsidRPr="00413B70" w:rsidRDefault="009D36ED" w:rsidP="0079403C">
            <w:pPr>
              <w:tabs>
                <w:tab w:val="left" w:pos="720"/>
              </w:tabs>
              <w:spacing w:before="20" w:after="20"/>
              <w:jc w:val="left"/>
              <w:rPr>
                <w:rFonts w:asciiTheme="minorHAnsi" w:hAnsiTheme="minorHAnsi" w:cstheme="minorHAnsi"/>
                <w:snapToGrid w:val="0"/>
                <w:sz w:val="20"/>
              </w:rPr>
            </w:pPr>
          </w:p>
        </w:tc>
        <w:tc>
          <w:tcPr>
            <w:tcW w:w="1701" w:type="pct"/>
          </w:tcPr>
          <w:p w14:paraId="0D34AA7D" w14:textId="77777777"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INFO paper to PPR and paper to MEPC on NOx emissions prepared by MAVI WGs</w:t>
            </w:r>
          </w:p>
        </w:tc>
        <w:tc>
          <w:tcPr>
            <w:tcW w:w="557" w:type="pct"/>
            <w:hideMark/>
          </w:tcPr>
          <w:p w14:paraId="359321C0"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387D2FEA" w14:textId="6882A32E" w:rsidR="009D36ED" w:rsidRPr="00413B70" w:rsidRDefault="001B0018" w:rsidP="001B0018">
            <w:pPr>
              <w:tabs>
                <w:tab w:val="left" w:pos="505"/>
              </w:tabs>
              <w:spacing w:before="20" w:after="20"/>
              <w:ind w:right="135"/>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9D36ED" w:rsidRPr="00D73834" w14:paraId="73BF1680" w14:textId="77777777" w:rsidTr="009D36ED">
        <w:trPr>
          <w:cantSplit/>
        </w:trPr>
        <w:tc>
          <w:tcPr>
            <w:tcW w:w="0" w:type="auto"/>
            <w:hideMark/>
          </w:tcPr>
          <w:p w14:paraId="03097567" w14:textId="77777777" w:rsidR="009D36ED" w:rsidRPr="00413B70" w:rsidRDefault="009D36ED"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11</w:t>
            </w:r>
          </w:p>
        </w:tc>
        <w:tc>
          <w:tcPr>
            <w:tcW w:w="446" w:type="pct"/>
            <w:hideMark/>
          </w:tcPr>
          <w:p w14:paraId="1CE99D4D" w14:textId="77777777" w:rsidR="009D36ED" w:rsidRPr="00413B70" w:rsidRDefault="009D36ED" w:rsidP="0079403C">
            <w:pPr>
              <w:tabs>
                <w:tab w:val="left" w:pos="-21"/>
              </w:tabs>
              <w:spacing w:after="60"/>
              <w:jc w:val="left"/>
              <w:rPr>
                <w:rFonts w:asciiTheme="minorHAnsi" w:hAnsiTheme="minorHAnsi" w:cstheme="minorHAnsi"/>
                <w:b/>
                <w:sz w:val="20"/>
              </w:rPr>
            </w:pPr>
            <w:r w:rsidRPr="00413B70">
              <w:rPr>
                <w:rFonts w:asciiTheme="minorHAnsi" w:hAnsiTheme="minorHAnsi" w:cstheme="minorHAnsi"/>
                <w:b/>
                <w:sz w:val="20"/>
              </w:rPr>
              <w:t>A.5</w:t>
            </w:r>
          </w:p>
          <w:p w14:paraId="4944653F" w14:textId="77777777" w:rsidR="009D36ED" w:rsidRPr="00413B70" w:rsidRDefault="009D36ED" w:rsidP="0079403C">
            <w:pPr>
              <w:tabs>
                <w:tab w:val="left" w:pos="-21"/>
              </w:tabs>
              <w:spacing w:after="60"/>
              <w:jc w:val="left"/>
              <w:rPr>
                <w:rFonts w:asciiTheme="minorHAnsi" w:hAnsiTheme="minorHAnsi" w:cstheme="minorHAnsi"/>
                <w:b/>
                <w:sz w:val="20"/>
              </w:rPr>
            </w:pPr>
            <w:r w:rsidRPr="00413B70">
              <w:rPr>
                <w:rFonts w:asciiTheme="minorHAnsi" w:hAnsiTheme="minorHAnsi" w:cstheme="minorHAnsi"/>
                <w:b/>
                <w:sz w:val="20"/>
              </w:rPr>
              <w:t>A.10</w:t>
            </w:r>
          </w:p>
        </w:tc>
        <w:tc>
          <w:tcPr>
            <w:tcW w:w="1619" w:type="pct"/>
            <w:hideMark/>
          </w:tcPr>
          <w:p w14:paraId="5FECFD4C" w14:textId="77777777" w:rsidR="009D36ED" w:rsidRPr="00413B70" w:rsidRDefault="009D36ED" w:rsidP="0079403C">
            <w:pPr>
              <w:tabs>
                <w:tab w:val="left" w:pos="-21"/>
              </w:tabs>
              <w:spacing w:after="60"/>
              <w:jc w:val="left"/>
              <w:rPr>
                <w:rFonts w:asciiTheme="minorHAnsi" w:hAnsiTheme="minorHAnsi" w:cstheme="minorHAnsi"/>
                <w:b/>
                <w:sz w:val="20"/>
              </w:rPr>
            </w:pPr>
            <w:r w:rsidRPr="00413B70">
              <w:rPr>
                <w:rFonts w:asciiTheme="minorHAnsi" w:hAnsiTheme="minorHAnsi" w:cstheme="minorHAnsi"/>
                <w:b/>
                <w:sz w:val="20"/>
              </w:rPr>
              <w:t>Consider the development of a common technical strategy and operational approach for monitoring compliance for NO</w:t>
            </w:r>
            <w:r w:rsidRPr="00413B70">
              <w:rPr>
                <w:rFonts w:asciiTheme="minorHAnsi" w:hAnsiTheme="minorHAnsi" w:cstheme="minorHAnsi"/>
                <w:b/>
                <w:sz w:val="20"/>
                <w:vertAlign w:val="subscript"/>
              </w:rPr>
              <w:t>x</w:t>
            </w:r>
            <w:r w:rsidRPr="00413B70">
              <w:rPr>
                <w:rFonts w:asciiTheme="minorHAnsi" w:hAnsiTheme="minorHAnsi" w:cstheme="minorHAnsi"/>
                <w:b/>
                <w:sz w:val="20"/>
              </w:rPr>
              <w:t xml:space="preserve"> and </w:t>
            </w:r>
            <w:proofErr w:type="spellStart"/>
            <w:r w:rsidRPr="00413B70">
              <w:rPr>
                <w:rFonts w:asciiTheme="minorHAnsi" w:hAnsiTheme="minorHAnsi" w:cstheme="minorHAnsi"/>
                <w:b/>
                <w:sz w:val="20"/>
              </w:rPr>
              <w:t>SO</w:t>
            </w:r>
            <w:r w:rsidRPr="00413B70">
              <w:rPr>
                <w:rFonts w:asciiTheme="minorHAnsi" w:hAnsiTheme="minorHAnsi" w:cstheme="minorHAnsi"/>
                <w:b/>
                <w:sz w:val="20"/>
                <w:vertAlign w:val="subscript"/>
              </w:rPr>
              <w:t>x</w:t>
            </w:r>
            <w:proofErr w:type="spellEnd"/>
            <w:r w:rsidRPr="00413B70">
              <w:rPr>
                <w:rFonts w:asciiTheme="minorHAnsi" w:hAnsiTheme="minorHAnsi" w:cstheme="minorHAnsi"/>
                <w:b/>
                <w:sz w:val="20"/>
              </w:rPr>
              <w:t>.</w:t>
            </w:r>
          </w:p>
        </w:tc>
        <w:tc>
          <w:tcPr>
            <w:tcW w:w="508" w:type="pct"/>
          </w:tcPr>
          <w:p w14:paraId="21BE3D87"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p>
        </w:tc>
        <w:tc>
          <w:tcPr>
            <w:tcW w:w="1701" w:type="pct"/>
          </w:tcPr>
          <w:p w14:paraId="1987524D" w14:textId="439ADE1F"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Establishment of MARPOL Annex VI WG on strategic and operational aspects (MAVI SOWG); and on technical issues (MAVI TWG) in 2021 with regular meetings and annual updates at OTSOPA and BONN</w:t>
            </w:r>
          </w:p>
          <w:p w14:paraId="3FC89DE6" w14:textId="07D94135"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 xml:space="preserve">Project proposal presented at Bonn 2021 and in development by Consortium for submission in EU calls by 2025/2026. </w:t>
            </w:r>
          </w:p>
        </w:tc>
        <w:tc>
          <w:tcPr>
            <w:tcW w:w="557" w:type="pct"/>
            <w:hideMark/>
          </w:tcPr>
          <w:p w14:paraId="32A716C1"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0E5E4844" w14:textId="4F20C2AE" w:rsidR="009D36ED" w:rsidRPr="00413B70" w:rsidRDefault="001B0018" w:rsidP="001B0018">
            <w:pPr>
              <w:tabs>
                <w:tab w:val="left" w:pos="505"/>
              </w:tabs>
              <w:spacing w:before="20" w:after="20"/>
              <w:ind w:right="135"/>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9D36ED" w:rsidRPr="00D73834" w14:paraId="1E6F9CDE" w14:textId="77777777" w:rsidTr="009D36ED">
        <w:tc>
          <w:tcPr>
            <w:tcW w:w="0" w:type="auto"/>
            <w:hideMark/>
          </w:tcPr>
          <w:p w14:paraId="04CF2703" w14:textId="77777777" w:rsidR="009D36ED" w:rsidRPr="00413B70" w:rsidRDefault="009D36ED"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12</w:t>
            </w:r>
          </w:p>
        </w:tc>
        <w:tc>
          <w:tcPr>
            <w:tcW w:w="446" w:type="pct"/>
            <w:hideMark/>
          </w:tcPr>
          <w:p w14:paraId="1A1850F8" w14:textId="77777777" w:rsidR="009D36ED" w:rsidRPr="00413B70" w:rsidRDefault="009D36ED" w:rsidP="0079403C">
            <w:pPr>
              <w:tabs>
                <w:tab w:val="left" w:pos="-21"/>
              </w:tabs>
              <w:spacing w:after="60"/>
              <w:jc w:val="left"/>
              <w:rPr>
                <w:rFonts w:asciiTheme="minorHAnsi" w:hAnsiTheme="minorHAnsi" w:cstheme="minorHAnsi"/>
                <w:b/>
                <w:sz w:val="20"/>
              </w:rPr>
            </w:pPr>
            <w:r w:rsidRPr="00413B70">
              <w:rPr>
                <w:rFonts w:asciiTheme="minorHAnsi" w:hAnsiTheme="minorHAnsi" w:cstheme="minorHAnsi"/>
                <w:b/>
                <w:sz w:val="20"/>
              </w:rPr>
              <w:t>A.7</w:t>
            </w:r>
          </w:p>
          <w:p w14:paraId="31E6FA62" w14:textId="77777777" w:rsidR="009D36ED" w:rsidRPr="00413B70" w:rsidRDefault="009D36ED" w:rsidP="0079403C">
            <w:pPr>
              <w:tabs>
                <w:tab w:val="left" w:pos="-21"/>
              </w:tabs>
              <w:spacing w:after="60"/>
              <w:jc w:val="left"/>
              <w:rPr>
                <w:rFonts w:asciiTheme="minorHAnsi" w:hAnsiTheme="minorHAnsi" w:cstheme="minorHAnsi"/>
                <w:b/>
                <w:sz w:val="20"/>
              </w:rPr>
            </w:pPr>
            <w:r w:rsidRPr="00413B70">
              <w:rPr>
                <w:rFonts w:asciiTheme="minorHAnsi" w:hAnsiTheme="minorHAnsi" w:cstheme="minorHAnsi"/>
                <w:b/>
                <w:sz w:val="20"/>
              </w:rPr>
              <w:t>A.9</w:t>
            </w:r>
          </w:p>
        </w:tc>
        <w:tc>
          <w:tcPr>
            <w:tcW w:w="1619" w:type="pct"/>
          </w:tcPr>
          <w:p w14:paraId="0520559A" w14:textId="77777777" w:rsidR="009D36ED" w:rsidRPr="00413B70" w:rsidRDefault="009D36ED" w:rsidP="0079403C">
            <w:pPr>
              <w:tabs>
                <w:tab w:val="left" w:pos="-21"/>
              </w:tabs>
              <w:spacing w:after="60"/>
              <w:jc w:val="left"/>
              <w:rPr>
                <w:rFonts w:asciiTheme="minorHAnsi" w:hAnsiTheme="minorHAnsi" w:cstheme="minorHAnsi"/>
                <w:b/>
                <w:sz w:val="20"/>
              </w:rPr>
            </w:pPr>
            <w:r w:rsidRPr="00413B70">
              <w:rPr>
                <w:rFonts w:asciiTheme="minorHAnsi" w:hAnsiTheme="minorHAnsi" w:cstheme="minorHAnsi"/>
                <w:b/>
                <w:sz w:val="20"/>
              </w:rPr>
              <w:t>Strengthen cooperation with the North Sea Network of Investigators and Prosecutors (NSN) and jointly:</w:t>
            </w:r>
          </w:p>
          <w:p w14:paraId="448099CF" w14:textId="77777777" w:rsidR="009D36ED" w:rsidRPr="00413B70" w:rsidRDefault="009D36ED" w:rsidP="0079403C">
            <w:pPr>
              <w:spacing w:after="60"/>
              <w:ind w:left="546" w:hanging="567"/>
              <w:jc w:val="left"/>
              <w:rPr>
                <w:rFonts w:asciiTheme="minorHAnsi" w:hAnsiTheme="minorHAnsi" w:cstheme="minorHAnsi"/>
                <w:b/>
                <w:sz w:val="20"/>
              </w:rPr>
            </w:pPr>
            <w:r w:rsidRPr="00413B70">
              <w:rPr>
                <w:rFonts w:asciiTheme="minorHAnsi" w:hAnsiTheme="minorHAnsi" w:cstheme="minorHAnsi"/>
                <w:b/>
                <w:sz w:val="20"/>
              </w:rPr>
              <w:t>a.</w:t>
            </w:r>
            <w:r w:rsidRPr="00413B70">
              <w:rPr>
                <w:rFonts w:asciiTheme="minorHAnsi" w:hAnsiTheme="minorHAnsi" w:cstheme="minorHAnsi"/>
                <w:b/>
                <w:sz w:val="20"/>
              </w:rPr>
              <w:tab/>
              <w:t xml:space="preserve">maintain and keep up to date the North Sea Manual on Maritime Oil Pollution </w:t>
            </w:r>
            <w:proofErr w:type="gramStart"/>
            <w:r w:rsidRPr="00413B70">
              <w:rPr>
                <w:rFonts w:asciiTheme="minorHAnsi" w:hAnsiTheme="minorHAnsi" w:cstheme="minorHAnsi"/>
                <w:b/>
                <w:sz w:val="20"/>
              </w:rPr>
              <w:t>Offences;</w:t>
            </w:r>
            <w:proofErr w:type="gramEnd"/>
          </w:p>
          <w:p w14:paraId="14998221" w14:textId="77777777" w:rsidR="009D36ED" w:rsidRPr="00413B70" w:rsidRDefault="009D36ED" w:rsidP="0079403C">
            <w:pPr>
              <w:spacing w:after="60"/>
              <w:ind w:left="546" w:hanging="567"/>
              <w:jc w:val="left"/>
              <w:rPr>
                <w:rFonts w:asciiTheme="minorHAnsi" w:hAnsiTheme="minorHAnsi" w:cstheme="minorHAnsi"/>
                <w:b/>
                <w:sz w:val="20"/>
              </w:rPr>
            </w:pPr>
            <w:r w:rsidRPr="00413B70">
              <w:rPr>
                <w:rFonts w:asciiTheme="minorHAnsi" w:hAnsiTheme="minorHAnsi" w:cstheme="minorHAnsi"/>
                <w:b/>
                <w:sz w:val="20"/>
              </w:rPr>
              <w:t>b.</w:t>
            </w:r>
            <w:r w:rsidRPr="00413B70">
              <w:rPr>
                <w:rFonts w:asciiTheme="minorHAnsi" w:hAnsiTheme="minorHAnsi" w:cstheme="minorHAnsi"/>
                <w:b/>
                <w:sz w:val="20"/>
              </w:rPr>
              <w:tab/>
              <w:t xml:space="preserve">arrange workshops for subjects of mutual </w:t>
            </w:r>
            <w:proofErr w:type="gramStart"/>
            <w:r w:rsidRPr="00413B70">
              <w:rPr>
                <w:rFonts w:asciiTheme="minorHAnsi" w:hAnsiTheme="minorHAnsi" w:cstheme="minorHAnsi"/>
                <w:b/>
                <w:sz w:val="20"/>
              </w:rPr>
              <w:t>interest;</w:t>
            </w:r>
            <w:proofErr w:type="gramEnd"/>
          </w:p>
          <w:p w14:paraId="0E27CE2C" w14:textId="50BD27A1" w:rsidR="009D36ED" w:rsidRPr="00413B70" w:rsidRDefault="009D36ED" w:rsidP="001B0018">
            <w:pPr>
              <w:spacing w:after="60"/>
              <w:ind w:left="546" w:hanging="567"/>
              <w:jc w:val="left"/>
              <w:rPr>
                <w:rFonts w:asciiTheme="minorHAnsi" w:hAnsiTheme="minorHAnsi" w:cstheme="minorHAnsi"/>
                <w:snapToGrid w:val="0"/>
                <w:sz w:val="20"/>
              </w:rPr>
            </w:pPr>
            <w:r w:rsidRPr="00413B70">
              <w:rPr>
                <w:rFonts w:asciiTheme="minorHAnsi" w:hAnsiTheme="minorHAnsi" w:cstheme="minorHAnsi"/>
                <w:b/>
                <w:sz w:val="20"/>
              </w:rPr>
              <w:t xml:space="preserve">c. </w:t>
            </w:r>
            <w:r w:rsidRPr="00413B70">
              <w:rPr>
                <w:rFonts w:asciiTheme="minorHAnsi" w:hAnsiTheme="minorHAnsi" w:cstheme="minorHAnsi"/>
                <w:b/>
                <w:sz w:val="20"/>
              </w:rPr>
              <w:tab/>
              <w:t>assist, where useful, in the publicity of convictions and establish environmental track records for shipping companies.</w:t>
            </w:r>
          </w:p>
        </w:tc>
        <w:tc>
          <w:tcPr>
            <w:tcW w:w="508" w:type="pct"/>
          </w:tcPr>
          <w:p w14:paraId="281D35EB"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p>
          <w:p w14:paraId="03AA3A3D"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p>
        </w:tc>
        <w:tc>
          <w:tcPr>
            <w:tcW w:w="1701" w:type="pct"/>
            <w:hideMark/>
          </w:tcPr>
          <w:p w14:paraId="01869A44" w14:textId="73F6A41D" w:rsidR="009D36ED" w:rsidRPr="00315B7E"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Planned seminar for 2027: Air Emissions from Shipping</w:t>
            </w:r>
          </w:p>
          <w:p w14:paraId="4E27F0B5" w14:textId="77777777"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Seminar on Maritime Environmental Crimes held in Nov 2023 with recommendations made.</w:t>
            </w:r>
          </w:p>
          <w:p w14:paraId="5017FA34" w14:textId="0C89AF26"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OTSOPA 2022 agreed to support NSN in updating the North Sea Manual on Maritime Oil Pollution Offences.</w:t>
            </w:r>
          </w:p>
        </w:tc>
        <w:tc>
          <w:tcPr>
            <w:tcW w:w="557" w:type="pct"/>
          </w:tcPr>
          <w:p w14:paraId="4B98834F"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4763C7E3" w14:textId="34F25BEB" w:rsidR="009D36ED" w:rsidRPr="001B0018" w:rsidRDefault="001B0018" w:rsidP="001B0018">
            <w:pPr>
              <w:tabs>
                <w:tab w:val="left" w:pos="505"/>
              </w:tabs>
              <w:spacing w:before="20" w:after="20"/>
              <w:ind w:right="135"/>
              <w:jc w:val="left"/>
              <w:rPr>
                <w:rFonts w:asciiTheme="minorHAnsi" w:hAnsiTheme="minorHAnsi" w:cstheme="minorHAnsi"/>
                <w:b/>
                <w:bCs/>
                <w:snapToGrid w:val="0"/>
                <w:sz w:val="20"/>
              </w:rPr>
            </w:pPr>
            <w:r w:rsidRPr="00413B70">
              <w:rPr>
                <w:rFonts w:asciiTheme="minorHAnsi" w:hAnsiTheme="minorHAnsi" w:cstheme="minorHAnsi"/>
                <w:snapToGrid w:val="0"/>
                <w:sz w:val="20"/>
              </w:rPr>
              <w:t>Ongoing</w:t>
            </w:r>
          </w:p>
        </w:tc>
      </w:tr>
      <w:tr w:rsidR="009D36ED" w:rsidRPr="00D73834" w14:paraId="2E120A48" w14:textId="77777777" w:rsidTr="009D36ED">
        <w:tc>
          <w:tcPr>
            <w:tcW w:w="0" w:type="auto"/>
            <w:hideMark/>
          </w:tcPr>
          <w:p w14:paraId="3AE1A998" w14:textId="77777777" w:rsidR="009D36ED" w:rsidRPr="00413B70" w:rsidRDefault="009D36ED"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lastRenderedPageBreak/>
              <w:t>13</w:t>
            </w:r>
          </w:p>
        </w:tc>
        <w:tc>
          <w:tcPr>
            <w:tcW w:w="446" w:type="pct"/>
            <w:hideMark/>
          </w:tcPr>
          <w:p w14:paraId="7E3407DA" w14:textId="77777777" w:rsidR="009D36ED" w:rsidRPr="00413B70" w:rsidRDefault="009D36ED" w:rsidP="0079403C">
            <w:pPr>
              <w:spacing w:after="60"/>
              <w:ind w:left="-21" w:firstLine="21"/>
              <w:jc w:val="left"/>
              <w:rPr>
                <w:rFonts w:asciiTheme="minorHAnsi" w:hAnsiTheme="minorHAnsi" w:cstheme="minorHAnsi"/>
                <w:b/>
                <w:sz w:val="20"/>
              </w:rPr>
            </w:pPr>
            <w:r w:rsidRPr="00413B70">
              <w:rPr>
                <w:rFonts w:asciiTheme="minorHAnsi" w:hAnsiTheme="minorHAnsi" w:cstheme="minorHAnsi"/>
                <w:b/>
                <w:sz w:val="20"/>
              </w:rPr>
              <w:t>A.8</w:t>
            </w:r>
          </w:p>
        </w:tc>
        <w:tc>
          <w:tcPr>
            <w:tcW w:w="1619" w:type="pct"/>
            <w:hideMark/>
          </w:tcPr>
          <w:p w14:paraId="2D1E3C05" w14:textId="77777777" w:rsidR="009D36ED" w:rsidRPr="00413B70" w:rsidRDefault="009D36ED" w:rsidP="0079403C">
            <w:pPr>
              <w:spacing w:after="60"/>
              <w:ind w:left="-21" w:firstLine="21"/>
              <w:jc w:val="left"/>
              <w:rPr>
                <w:rFonts w:asciiTheme="minorHAnsi" w:hAnsiTheme="minorHAnsi" w:cstheme="minorHAnsi"/>
                <w:b/>
                <w:sz w:val="20"/>
              </w:rPr>
            </w:pPr>
            <w:r w:rsidRPr="00413B70">
              <w:rPr>
                <w:rFonts w:asciiTheme="minorHAnsi" w:hAnsiTheme="minorHAnsi" w:cstheme="minorHAnsi"/>
                <w:b/>
                <w:sz w:val="20"/>
              </w:rPr>
              <w:t xml:space="preserve">Continue the activities of OSINET </w:t>
            </w:r>
            <w:proofErr w:type="gramStart"/>
            <w:r w:rsidRPr="00413B70">
              <w:rPr>
                <w:rFonts w:asciiTheme="minorHAnsi" w:hAnsiTheme="minorHAnsi" w:cstheme="minorHAnsi"/>
                <w:b/>
                <w:sz w:val="20"/>
              </w:rPr>
              <w:t>in order to</w:t>
            </w:r>
            <w:proofErr w:type="gramEnd"/>
            <w:r w:rsidRPr="00413B70">
              <w:rPr>
                <w:rFonts w:asciiTheme="minorHAnsi" w:hAnsiTheme="minorHAnsi" w:cstheme="minorHAnsi"/>
                <w:b/>
                <w:sz w:val="20"/>
              </w:rPr>
              <w:t>:</w:t>
            </w:r>
          </w:p>
          <w:p w14:paraId="7BF14F2C" w14:textId="77777777" w:rsidR="009D36ED" w:rsidRPr="00413B70" w:rsidRDefault="009D36ED" w:rsidP="0079403C">
            <w:pPr>
              <w:spacing w:after="60"/>
              <w:ind w:left="546" w:hanging="546"/>
              <w:jc w:val="left"/>
              <w:rPr>
                <w:rFonts w:asciiTheme="minorHAnsi" w:hAnsiTheme="minorHAnsi" w:cstheme="minorHAnsi"/>
                <w:b/>
                <w:sz w:val="20"/>
              </w:rPr>
            </w:pPr>
            <w:r w:rsidRPr="00413B70">
              <w:rPr>
                <w:rFonts w:asciiTheme="minorHAnsi" w:hAnsiTheme="minorHAnsi" w:cstheme="minorHAnsi"/>
                <w:b/>
                <w:sz w:val="20"/>
              </w:rPr>
              <w:t xml:space="preserve">a. </w:t>
            </w:r>
            <w:r w:rsidRPr="00413B70">
              <w:rPr>
                <w:rFonts w:asciiTheme="minorHAnsi" w:hAnsiTheme="minorHAnsi" w:cstheme="minorHAnsi"/>
                <w:b/>
                <w:sz w:val="20"/>
              </w:rPr>
              <w:tab/>
              <w:t>improve knowledge and experience of relevant laboratories regarding oil spill forensics, including through inter-calibration exercises; and</w:t>
            </w:r>
          </w:p>
          <w:p w14:paraId="73775680" w14:textId="77DCFD84" w:rsidR="009D36ED" w:rsidRPr="00413B70" w:rsidRDefault="009D36ED" w:rsidP="0079403C">
            <w:pPr>
              <w:spacing w:after="60"/>
              <w:ind w:left="546" w:hanging="546"/>
              <w:jc w:val="left"/>
              <w:rPr>
                <w:rFonts w:asciiTheme="minorHAnsi" w:hAnsiTheme="minorHAnsi" w:cstheme="minorHAnsi"/>
                <w:b/>
                <w:sz w:val="20"/>
                <w:highlight w:val="yellow"/>
              </w:rPr>
            </w:pPr>
            <w:r w:rsidRPr="00413B70">
              <w:rPr>
                <w:rFonts w:asciiTheme="minorHAnsi" w:hAnsiTheme="minorHAnsi" w:cstheme="minorHAnsi"/>
                <w:b/>
                <w:sz w:val="20"/>
              </w:rPr>
              <w:t>b.</w:t>
            </w:r>
            <w:r w:rsidRPr="00413B70">
              <w:rPr>
                <w:rFonts w:asciiTheme="minorHAnsi" w:hAnsiTheme="minorHAnsi" w:cstheme="minorHAnsi"/>
                <w:b/>
                <w:sz w:val="20"/>
              </w:rPr>
              <w:tab/>
              <w:t>keep/develop up to date analytical procedures and reference methods, including for oil sampling at sea</w:t>
            </w:r>
          </w:p>
        </w:tc>
        <w:tc>
          <w:tcPr>
            <w:tcW w:w="508" w:type="pct"/>
          </w:tcPr>
          <w:p w14:paraId="443E4EBB"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p>
          <w:p w14:paraId="255F3ADF"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p>
        </w:tc>
        <w:tc>
          <w:tcPr>
            <w:tcW w:w="1701" w:type="pct"/>
          </w:tcPr>
          <w:p w14:paraId="6D834641" w14:textId="4A645A2E"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 xml:space="preserve">Agreed Terms of Reference and new co-convenor </w:t>
            </w:r>
          </w:p>
          <w:p w14:paraId="602B1470" w14:textId="77777777"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COSIWEB 2 launched</w:t>
            </w:r>
          </w:p>
          <w:p w14:paraId="6FBBEB05" w14:textId="77777777"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European standards of sampling and oil spill identification methodologies</w:t>
            </w:r>
          </w:p>
          <w:p w14:paraId="173412F5" w14:textId="77777777"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Contribution to EMSA’s guidelines on sampling</w:t>
            </w:r>
          </w:p>
          <w:p w14:paraId="191B21D6" w14:textId="1BDCEC89"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Round Robin</w:t>
            </w:r>
            <w:r w:rsidR="00413B70">
              <w:rPr>
                <w:rFonts w:asciiTheme="minorHAnsi" w:hAnsiTheme="minorHAnsi" w:cstheme="minorHAnsi"/>
                <w:snapToGrid w:val="0"/>
                <w:sz w:val="20"/>
              </w:rPr>
              <w:t xml:space="preserve"> </w:t>
            </w:r>
            <w:r w:rsidRPr="00413B70">
              <w:rPr>
                <w:rFonts w:asciiTheme="minorHAnsi" w:hAnsiTheme="minorHAnsi" w:cstheme="minorHAnsi"/>
                <w:snapToGrid w:val="0"/>
                <w:sz w:val="20"/>
              </w:rPr>
              <w:t>held in 2025</w:t>
            </w:r>
          </w:p>
          <w:p w14:paraId="7EBED34D" w14:textId="5D74CB1B"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 xml:space="preserve">New </w:t>
            </w:r>
            <w:proofErr w:type="spellStart"/>
            <w:r w:rsidRPr="00413B70">
              <w:rPr>
                <w:rFonts w:asciiTheme="minorHAnsi" w:hAnsiTheme="minorHAnsi" w:cstheme="minorHAnsi"/>
                <w:snapToGrid w:val="0"/>
                <w:sz w:val="20"/>
              </w:rPr>
              <w:t>OSINet</w:t>
            </w:r>
            <w:proofErr w:type="spellEnd"/>
            <w:r w:rsidRPr="00413B70">
              <w:rPr>
                <w:rFonts w:asciiTheme="minorHAnsi" w:hAnsiTheme="minorHAnsi" w:cstheme="minorHAnsi"/>
                <w:snapToGrid w:val="0"/>
                <w:sz w:val="20"/>
              </w:rPr>
              <w:t xml:space="preserve"> SharePoint site in use by smaller group of laboratories.</w:t>
            </w:r>
          </w:p>
        </w:tc>
        <w:tc>
          <w:tcPr>
            <w:tcW w:w="557" w:type="pct"/>
            <w:hideMark/>
          </w:tcPr>
          <w:p w14:paraId="169FA873"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79BD3691" w14:textId="060E10BC" w:rsidR="009D36ED"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9D36ED" w:rsidRPr="00D73834" w14:paraId="7FDCD83B" w14:textId="77777777" w:rsidTr="009D36ED">
        <w:tc>
          <w:tcPr>
            <w:tcW w:w="0" w:type="auto"/>
            <w:hideMark/>
          </w:tcPr>
          <w:p w14:paraId="052131EB" w14:textId="77777777" w:rsidR="009D36ED" w:rsidRPr="00413B70" w:rsidRDefault="009D36ED"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14</w:t>
            </w:r>
          </w:p>
        </w:tc>
        <w:tc>
          <w:tcPr>
            <w:tcW w:w="446" w:type="pct"/>
            <w:hideMark/>
          </w:tcPr>
          <w:p w14:paraId="6584BBF7"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A.11</w:t>
            </w:r>
          </w:p>
          <w:p w14:paraId="302BEA64"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B.1</w:t>
            </w:r>
          </w:p>
        </w:tc>
        <w:tc>
          <w:tcPr>
            <w:tcW w:w="1619" w:type="pct"/>
          </w:tcPr>
          <w:p w14:paraId="1FCBDB3E"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Maintain and keep up to date the Bonn Agreement website and dissemination of electronic publications (i.e. manuals, handbooks and reports).</w:t>
            </w:r>
          </w:p>
          <w:p w14:paraId="6AA695FD" w14:textId="77777777" w:rsidR="009D36ED" w:rsidRPr="00413B70" w:rsidRDefault="009D36ED" w:rsidP="0079403C">
            <w:pPr>
              <w:tabs>
                <w:tab w:val="left" w:pos="770"/>
              </w:tabs>
              <w:spacing w:before="20" w:after="20"/>
              <w:jc w:val="left"/>
              <w:rPr>
                <w:rFonts w:asciiTheme="minorHAnsi" w:hAnsiTheme="minorHAnsi" w:cstheme="minorHAnsi"/>
                <w:b/>
                <w:sz w:val="20"/>
              </w:rPr>
            </w:pPr>
          </w:p>
        </w:tc>
        <w:tc>
          <w:tcPr>
            <w:tcW w:w="508" w:type="pct"/>
            <w:hideMark/>
          </w:tcPr>
          <w:p w14:paraId="13D4FB28"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Activity undertaken when required</w:t>
            </w:r>
          </w:p>
        </w:tc>
        <w:tc>
          <w:tcPr>
            <w:tcW w:w="1701" w:type="pct"/>
            <w:hideMark/>
          </w:tcPr>
          <w:p w14:paraId="4C5B94EF" w14:textId="77777777"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Secretariat to investigate possibility of maintaining source of decisions/actions.</w:t>
            </w:r>
          </w:p>
          <w:p w14:paraId="2F07DAC7" w14:textId="77777777"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BADIMS agreed at BONN 23. Initial layout agreed with final development in Q4 2024</w:t>
            </w:r>
          </w:p>
          <w:p w14:paraId="54D9FCF2" w14:textId="2BF865CA"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New BA Website structure agreed at OTSOPA 24 &amp; BONN 24 implemented.</w:t>
            </w:r>
          </w:p>
        </w:tc>
        <w:tc>
          <w:tcPr>
            <w:tcW w:w="557" w:type="pct"/>
            <w:hideMark/>
          </w:tcPr>
          <w:p w14:paraId="70DC745E"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49C9A721" w14:textId="5469321C" w:rsidR="009D36ED"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9D36ED" w:rsidRPr="00D73834" w14:paraId="0D946E11" w14:textId="77777777" w:rsidTr="009D36ED">
        <w:tc>
          <w:tcPr>
            <w:tcW w:w="0" w:type="auto"/>
          </w:tcPr>
          <w:p w14:paraId="56605D46" w14:textId="77777777" w:rsidR="009D36ED" w:rsidRPr="00413B70" w:rsidRDefault="009D36ED"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15</w:t>
            </w:r>
          </w:p>
        </w:tc>
        <w:tc>
          <w:tcPr>
            <w:tcW w:w="446" w:type="pct"/>
          </w:tcPr>
          <w:p w14:paraId="49E71A6D"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A.2</w:t>
            </w:r>
          </w:p>
        </w:tc>
        <w:tc>
          <w:tcPr>
            <w:tcW w:w="1619" w:type="pct"/>
          </w:tcPr>
          <w:p w14:paraId="41ED92D3"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Review existing recommendations for notifications of detected pollution and make necessary adjustments when required.</w:t>
            </w:r>
          </w:p>
        </w:tc>
        <w:tc>
          <w:tcPr>
            <w:tcW w:w="508" w:type="pct"/>
            <w:shd w:val="clear" w:color="auto" w:fill="FFFFFF"/>
          </w:tcPr>
          <w:p w14:paraId="52269094"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Activity undertaken when required</w:t>
            </w:r>
          </w:p>
        </w:tc>
        <w:tc>
          <w:tcPr>
            <w:tcW w:w="1701" w:type="pct"/>
          </w:tcPr>
          <w:p w14:paraId="121FCB40"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p>
        </w:tc>
        <w:tc>
          <w:tcPr>
            <w:tcW w:w="557" w:type="pct"/>
          </w:tcPr>
          <w:p w14:paraId="12575A26" w14:textId="77777777" w:rsidR="009D36ED" w:rsidRDefault="001B0018" w:rsidP="0079403C">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Not on track</w:t>
            </w:r>
          </w:p>
          <w:p w14:paraId="68C51E2E" w14:textId="3C2A243E" w:rsidR="004047BC" w:rsidRPr="00413B70" w:rsidRDefault="004047BC"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9D36ED" w:rsidRPr="00D73834" w14:paraId="726DACF7" w14:textId="77777777" w:rsidTr="009D36ED">
        <w:tc>
          <w:tcPr>
            <w:tcW w:w="0" w:type="auto"/>
            <w:hideMark/>
          </w:tcPr>
          <w:p w14:paraId="124F43BE" w14:textId="77777777" w:rsidR="009D36ED" w:rsidRPr="00413B70" w:rsidRDefault="009D36ED"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16</w:t>
            </w:r>
          </w:p>
        </w:tc>
        <w:tc>
          <w:tcPr>
            <w:tcW w:w="446" w:type="pct"/>
            <w:hideMark/>
          </w:tcPr>
          <w:p w14:paraId="05E68108"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A.11</w:t>
            </w:r>
          </w:p>
        </w:tc>
        <w:tc>
          <w:tcPr>
            <w:tcW w:w="1619" w:type="pct"/>
            <w:hideMark/>
          </w:tcPr>
          <w:p w14:paraId="76F0BB70" w14:textId="77777777" w:rsidR="009D36ED" w:rsidRPr="00413B70" w:rsidRDefault="009D36ED"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Implement the Bonn Agreement Communication Strategy.</w:t>
            </w:r>
          </w:p>
        </w:tc>
        <w:tc>
          <w:tcPr>
            <w:tcW w:w="508" w:type="pct"/>
          </w:tcPr>
          <w:p w14:paraId="0C53A5FC" w14:textId="77777777" w:rsidR="009D36ED" w:rsidRPr="00413B70" w:rsidRDefault="009D36ED" w:rsidP="0079403C">
            <w:pPr>
              <w:tabs>
                <w:tab w:val="left" w:pos="720"/>
              </w:tabs>
              <w:spacing w:before="20" w:after="20"/>
              <w:jc w:val="left"/>
              <w:rPr>
                <w:rFonts w:asciiTheme="minorHAnsi" w:hAnsiTheme="minorHAnsi" w:cstheme="minorHAnsi"/>
                <w:snapToGrid w:val="0"/>
                <w:sz w:val="20"/>
              </w:rPr>
            </w:pPr>
          </w:p>
        </w:tc>
        <w:tc>
          <w:tcPr>
            <w:tcW w:w="1701" w:type="pct"/>
          </w:tcPr>
          <w:p w14:paraId="05B26706" w14:textId="08DD6206"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Bonn Agreement exhibited at Interspill 2022 and in 2025 along with Copenhagen Agreement.</w:t>
            </w:r>
          </w:p>
          <w:p w14:paraId="7E01284D" w14:textId="300632AF" w:rsidR="009D36ED" w:rsidRPr="00413B70" w:rsidRDefault="009D36ED"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BA Website updated.</w:t>
            </w:r>
          </w:p>
        </w:tc>
        <w:tc>
          <w:tcPr>
            <w:tcW w:w="557" w:type="pct"/>
            <w:hideMark/>
          </w:tcPr>
          <w:p w14:paraId="1F77774E"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0D740CDC" w14:textId="4528AB2D" w:rsidR="009D36ED"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bl>
    <w:p w14:paraId="74918014" w14:textId="77777777" w:rsidR="00146C07" w:rsidRPr="00D73834" w:rsidRDefault="00146C07" w:rsidP="00146C07">
      <w:pPr>
        <w:tabs>
          <w:tab w:val="left" w:pos="720"/>
        </w:tabs>
        <w:spacing w:before="120" w:after="0"/>
        <w:jc w:val="left"/>
        <w:rPr>
          <w:rFonts w:asciiTheme="minorHAnsi" w:hAnsiTheme="minorHAnsi" w:cstheme="minorHAnsi"/>
          <w:szCs w:val="22"/>
        </w:rPr>
      </w:pPr>
    </w:p>
    <w:p w14:paraId="0CEB8551" w14:textId="77777777" w:rsidR="00146C07" w:rsidRPr="00D73834" w:rsidRDefault="00146C07" w:rsidP="00146C07">
      <w:pPr>
        <w:tabs>
          <w:tab w:val="left" w:pos="720"/>
        </w:tabs>
        <w:spacing w:before="120" w:after="0"/>
        <w:jc w:val="left"/>
        <w:rPr>
          <w:rFonts w:asciiTheme="minorHAnsi" w:hAnsiTheme="minorHAnsi" w:cstheme="minorHAnsi"/>
          <w:szCs w:val="22"/>
        </w:rPr>
      </w:pPr>
      <w:r w:rsidRPr="00D73834">
        <w:rPr>
          <w:rFonts w:asciiTheme="minorHAnsi" w:hAnsiTheme="minorHAnsi" w:cstheme="minorHAnsi"/>
          <w:szCs w:val="22"/>
        </w:rPr>
        <w:br w:type="page"/>
      </w:r>
      <w:r w:rsidRPr="00D73834">
        <w:rPr>
          <w:rFonts w:asciiTheme="minorHAnsi" w:hAnsiTheme="minorHAnsi" w:cstheme="minorHAnsi"/>
          <w:szCs w:val="22"/>
        </w:rPr>
        <w:lastRenderedPageBreak/>
        <w:t>Tasks 17 – 27 in relation to Strategic Aim B (Preparedness):</w:t>
      </w:r>
    </w:p>
    <w:p w14:paraId="42662641" w14:textId="77777777" w:rsidR="00146C07" w:rsidRPr="00D73834" w:rsidRDefault="00146C07" w:rsidP="00146C07">
      <w:pPr>
        <w:tabs>
          <w:tab w:val="left" w:pos="1134"/>
          <w:tab w:val="left" w:pos="1701"/>
          <w:tab w:val="left" w:pos="2268"/>
        </w:tabs>
        <w:jc w:val="left"/>
        <w:rPr>
          <w:rFonts w:asciiTheme="minorHAnsi"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72"/>
        <w:gridCol w:w="865"/>
        <w:gridCol w:w="4896"/>
        <w:gridCol w:w="1417"/>
        <w:gridCol w:w="4820"/>
        <w:gridCol w:w="1478"/>
      </w:tblGrid>
      <w:tr w:rsidR="00413B70" w:rsidRPr="00D73834" w14:paraId="3FFA6603" w14:textId="77777777" w:rsidTr="00413B70">
        <w:trPr>
          <w:cantSplit/>
          <w:tblHeader/>
        </w:trPr>
        <w:tc>
          <w:tcPr>
            <w:tcW w:w="169" w:type="pct"/>
            <w:shd w:val="clear" w:color="auto" w:fill="EDEDED"/>
          </w:tcPr>
          <w:p w14:paraId="63D65D6F" w14:textId="77777777" w:rsidR="00413B70" w:rsidRPr="00D73834" w:rsidRDefault="00413B70" w:rsidP="0079403C">
            <w:pPr>
              <w:tabs>
                <w:tab w:val="left" w:pos="720"/>
              </w:tabs>
              <w:spacing w:before="20" w:after="20"/>
              <w:jc w:val="left"/>
              <w:rPr>
                <w:rFonts w:asciiTheme="minorHAnsi" w:hAnsiTheme="minorHAnsi" w:cstheme="minorHAnsi"/>
                <w:b/>
                <w:snapToGrid w:val="0"/>
                <w:szCs w:val="22"/>
              </w:rPr>
            </w:pPr>
            <w:r w:rsidRPr="00D73834">
              <w:rPr>
                <w:rFonts w:asciiTheme="minorHAnsi" w:hAnsiTheme="minorHAnsi" w:cstheme="minorHAnsi"/>
                <w:b/>
                <w:snapToGrid w:val="0"/>
                <w:szCs w:val="22"/>
              </w:rPr>
              <w:t>Task</w:t>
            </w:r>
          </w:p>
        </w:tc>
        <w:tc>
          <w:tcPr>
            <w:tcW w:w="310" w:type="pct"/>
            <w:shd w:val="clear" w:color="auto" w:fill="EDEDED"/>
            <w:hideMark/>
          </w:tcPr>
          <w:p w14:paraId="31CB52A7" w14:textId="77777777" w:rsidR="00413B70" w:rsidRPr="00D73834" w:rsidRDefault="00413B70" w:rsidP="0079403C">
            <w:pPr>
              <w:tabs>
                <w:tab w:val="left" w:pos="720"/>
              </w:tabs>
              <w:spacing w:before="20" w:after="20"/>
              <w:jc w:val="left"/>
              <w:rPr>
                <w:rFonts w:asciiTheme="minorHAnsi" w:hAnsiTheme="minorHAnsi" w:cstheme="minorHAnsi"/>
                <w:b/>
                <w:snapToGrid w:val="0"/>
                <w:szCs w:val="22"/>
              </w:rPr>
            </w:pPr>
            <w:r w:rsidRPr="00D73834">
              <w:rPr>
                <w:rFonts w:asciiTheme="minorHAnsi" w:hAnsiTheme="minorHAnsi" w:cstheme="minorHAnsi"/>
                <w:b/>
                <w:snapToGrid w:val="0"/>
                <w:szCs w:val="22"/>
              </w:rPr>
              <w:t>Strategic Action</w:t>
            </w:r>
          </w:p>
        </w:tc>
        <w:tc>
          <w:tcPr>
            <w:tcW w:w="1755" w:type="pct"/>
            <w:shd w:val="clear" w:color="auto" w:fill="EDEDED"/>
            <w:hideMark/>
          </w:tcPr>
          <w:p w14:paraId="602E96A6" w14:textId="77777777" w:rsidR="00413B70" w:rsidRPr="00D73834" w:rsidRDefault="00413B70" w:rsidP="0079403C">
            <w:pPr>
              <w:tabs>
                <w:tab w:val="left" w:pos="720"/>
              </w:tabs>
              <w:spacing w:before="20" w:after="20"/>
              <w:jc w:val="left"/>
              <w:rPr>
                <w:rFonts w:asciiTheme="minorHAnsi" w:hAnsiTheme="minorHAnsi" w:cstheme="minorHAnsi"/>
                <w:b/>
                <w:snapToGrid w:val="0"/>
                <w:szCs w:val="22"/>
              </w:rPr>
            </w:pPr>
            <w:r w:rsidRPr="00D73834">
              <w:rPr>
                <w:rFonts w:asciiTheme="minorHAnsi" w:hAnsiTheme="minorHAnsi" w:cstheme="minorHAnsi"/>
                <w:b/>
                <w:snapToGrid w:val="0"/>
                <w:szCs w:val="22"/>
              </w:rPr>
              <w:t>Description</w:t>
            </w:r>
          </w:p>
        </w:tc>
        <w:tc>
          <w:tcPr>
            <w:tcW w:w="508" w:type="pct"/>
            <w:shd w:val="clear" w:color="auto" w:fill="EDEDED"/>
            <w:hideMark/>
          </w:tcPr>
          <w:p w14:paraId="7656512B" w14:textId="77777777" w:rsidR="00413B70" w:rsidRPr="00D73834" w:rsidRDefault="00413B70" w:rsidP="0079403C">
            <w:pPr>
              <w:tabs>
                <w:tab w:val="left" w:pos="720"/>
              </w:tabs>
              <w:spacing w:before="20" w:after="20"/>
              <w:jc w:val="left"/>
              <w:rPr>
                <w:rFonts w:asciiTheme="minorHAnsi" w:hAnsiTheme="minorHAnsi" w:cstheme="minorHAnsi"/>
                <w:b/>
                <w:snapToGrid w:val="0"/>
                <w:szCs w:val="22"/>
              </w:rPr>
            </w:pPr>
            <w:r w:rsidRPr="00D73834">
              <w:rPr>
                <w:rFonts w:asciiTheme="minorHAnsi" w:hAnsiTheme="minorHAnsi" w:cstheme="minorHAnsi"/>
                <w:b/>
                <w:snapToGrid w:val="0"/>
                <w:szCs w:val="22"/>
              </w:rPr>
              <w:t>Target date</w:t>
            </w:r>
          </w:p>
        </w:tc>
        <w:tc>
          <w:tcPr>
            <w:tcW w:w="1728" w:type="pct"/>
            <w:shd w:val="clear" w:color="auto" w:fill="EDEDED"/>
            <w:hideMark/>
          </w:tcPr>
          <w:p w14:paraId="63731A67" w14:textId="77777777" w:rsidR="00413B70" w:rsidRPr="00D73834" w:rsidRDefault="00413B70" w:rsidP="0079403C">
            <w:pPr>
              <w:tabs>
                <w:tab w:val="left" w:pos="720"/>
              </w:tabs>
              <w:spacing w:before="20" w:after="20"/>
              <w:jc w:val="left"/>
              <w:rPr>
                <w:rFonts w:asciiTheme="minorHAnsi" w:hAnsiTheme="minorHAnsi" w:cstheme="minorHAnsi"/>
                <w:b/>
                <w:snapToGrid w:val="0"/>
                <w:szCs w:val="22"/>
              </w:rPr>
            </w:pPr>
            <w:r w:rsidRPr="00D73834">
              <w:rPr>
                <w:rFonts w:asciiTheme="minorHAnsi" w:hAnsiTheme="minorHAnsi" w:cstheme="minorHAnsi"/>
                <w:b/>
                <w:snapToGrid w:val="0"/>
                <w:szCs w:val="22"/>
              </w:rPr>
              <w:t>Progress</w:t>
            </w:r>
          </w:p>
        </w:tc>
        <w:tc>
          <w:tcPr>
            <w:tcW w:w="530" w:type="pct"/>
            <w:shd w:val="clear" w:color="auto" w:fill="EDEDED"/>
            <w:hideMark/>
          </w:tcPr>
          <w:p w14:paraId="51C8E00C" w14:textId="77777777" w:rsidR="00413B70" w:rsidRPr="00D73834" w:rsidRDefault="00413B70" w:rsidP="0079403C">
            <w:pPr>
              <w:tabs>
                <w:tab w:val="left" w:pos="720"/>
              </w:tabs>
              <w:spacing w:before="20" w:after="20"/>
              <w:jc w:val="left"/>
              <w:rPr>
                <w:rFonts w:asciiTheme="minorHAnsi" w:hAnsiTheme="minorHAnsi" w:cstheme="minorHAnsi"/>
                <w:b/>
                <w:snapToGrid w:val="0"/>
                <w:szCs w:val="22"/>
              </w:rPr>
            </w:pPr>
            <w:r w:rsidRPr="00D73834">
              <w:rPr>
                <w:rFonts w:asciiTheme="minorHAnsi" w:hAnsiTheme="minorHAnsi" w:cstheme="minorHAnsi"/>
                <w:b/>
                <w:snapToGrid w:val="0"/>
                <w:szCs w:val="22"/>
              </w:rPr>
              <w:t>Status</w:t>
            </w:r>
          </w:p>
        </w:tc>
      </w:tr>
      <w:tr w:rsidR="00413B70" w:rsidRPr="00D73834" w14:paraId="0CECB704" w14:textId="77777777" w:rsidTr="00413B70">
        <w:trPr>
          <w:cantSplit/>
        </w:trPr>
        <w:tc>
          <w:tcPr>
            <w:tcW w:w="169" w:type="pct"/>
            <w:hideMark/>
          </w:tcPr>
          <w:p w14:paraId="04284774"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17</w:t>
            </w:r>
          </w:p>
        </w:tc>
        <w:tc>
          <w:tcPr>
            <w:tcW w:w="310" w:type="pct"/>
            <w:hideMark/>
          </w:tcPr>
          <w:p w14:paraId="1849CFC3"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B.1</w:t>
            </w:r>
          </w:p>
          <w:p w14:paraId="62B41C2B"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A.11</w:t>
            </w:r>
          </w:p>
        </w:tc>
        <w:tc>
          <w:tcPr>
            <w:tcW w:w="1755" w:type="pct"/>
            <w:hideMark/>
          </w:tcPr>
          <w:p w14:paraId="32A97D88" w14:textId="77777777" w:rsidR="00413B70" w:rsidRPr="00413B70" w:rsidRDefault="00413B70" w:rsidP="0079403C">
            <w:pPr>
              <w:tabs>
                <w:tab w:val="left" w:pos="770"/>
              </w:tabs>
              <w:spacing w:before="20" w:after="20"/>
              <w:jc w:val="left"/>
              <w:rPr>
                <w:rFonts w:asciiTheme="minorHAnsi" w:hAnsiTheme="minorHAnsi" w:cstheme="minorHAnsi"/>
                <w:b/>
                <w:sz w:val="20"/>
                <w:highlight w:val="yellow"/>
              </w:rPr>
            </w:pPr>
            <w:r w:rsidRPr="00413B70">
              <w:rPr>
                <w:rFonts w:asciiTheme="minorHAnsi" w:hAnsiTheme="minorHAnsi" w:cstheme="minorHAnsi"/>
                <w:b/>
                <w:sz w:val="20"/>
              </w:rPr>
              <w:t>Maintain and update the different Chapters of the Bonn Agreement Counter Pollution Manual</w:t>
            </w:r>
          </w:p>
        </w:tc>
        <w:tc>
          <w:tcPr>
            <w:tcW w:w="508" w:type="pct"/>
            <w:hideMark/>
          </w:tcPr>
          <w:p w14:paraId="2B419111"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Activity undertaken when required</w:t>
            </w:r>
          </w:p>
        </w:tc>
        <w:tc>
          <w:tcPr>
            <w:tcW w:w="1728" w:type="pct"/>
          </w:tcPr>
          <w:p w14:paraId="7E6374EB" w14:textId="0D19C4A0"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 xml:space="preserve">Updated annually. </w:t>
            </w:r>
          </w:p>
          <w:p w14:paraId="488960AB" w14:textId="7777777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HNS Regional Manual included</w:t>
            </w:r>
          </w:p>
          <w:p w14:paraId="594E5F5B" w14:textId="3098E4E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Wildlife chapter included in 2023</w:t>
            </w:r>
          </w:p>
        </w:tc>
        <w:tc>
          <w:tcPr>
            <w:tcW w:w="530" w:type="pct"/>
          </w:tcPr>
          <w:p w14:paraId="408B0E25"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6635BC01" w14:textId="31AA871F" w:rsidR="00413B70"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413B70" w:rsidRPr="00D73834" w14:paraId="10E369BC" w14:textId="77777777" w:rsidTr="00413B70">
        <w:trPr>
          <w:cantSplit/>
        </w:trPr>
        <w:tc>
          <w:tcPr>
            <w:tcW w:w="169" w:type="pct"/>
            <w:hideMark/>
          </w:tcPr>
          <w:p w14:paraId="7035BC63"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18</w:t>
            </w:r>
          </w:p>
        </w:tc>
        <w:tc>
          <w:tcPr>
            <w:tcW w:w="310" w:type="pct"/>
            <w:hideMark/>
          </w:tcPr>
          <w:p w14:paraId="58891B0C"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B.2</w:t>
            </w:r>
          </w:p>
        </w:tc>
        <w:tc>
          <w:tcPr>
            <w:tcW w:w="1755" w:type="pct"/>
          </w:tcPr>
          <w:p w14:paraId="1EDF8995" w14:textId="77777777" w:rsidR="00413B70" w:rsidRPr="00413B70" w:rsidRDefault="00413B70" w:rsidP="0079403C">
            <w:pPr>
              <w:tabs>
                <w:tab w:val="left" w:pos="770"/>
              </w:tabs>
              <w:spacing w:before="20" w:after="20"/>
              <w:jc w:val="left"/>
              <w:rPr>
                <w:rFonts w:asciiTheme="minorHAnsi" w:hAnsiTheme="minorHAnsi" w:cstheme="minorHAnsi"/>
                <w:b/>
                <w:snapToGrid w:val="0"/>
                <w:sz w:val="20"/>
              </w:rPr>
            </w:pPr>
            <w:r w:rsidRPr="00413B70">
              <w:rPr>
                <w:rFonts w:asciiTheme="minorHAnsi" w:hAnsiTheme="minorHAnsi" w:cstheme="minorHAnsi"/>
                <w:b/>
                <w:sz w:val="20"/>
              </w:rPr>
              <w:t>Continue exchange of information on potentially polluting wrecks (methods for emptying, assessing risk, etc).</w:t>
            </w:r>
          </w:p>
          <w:p w14:paraId="00ADD407" w14:textId="77777777" w:rsidR="00413B70" w:rsidRPr="00413B70" w:rsidRDefault="00413B70" w:rsidP="0079403C">
            <w:pPr>
              <w:tabs>
                <w:tab w:val="left" w:pos="770"/>
              </w:tabs>
              <w:spacing w:before="20" w:after="20"/>
              <w:jc w:val="left"/>
              <w:rPr>
                <w:rFonts w:asciiTheme="minorHAnsi" w:hAnsiTheme="minorHAnsi" w:cstheme="minorHAnsi"/>
                <w:snapToGrid w:val="0"/>
                <w:sz w:val="20"/>
              </w:rPr>
            </w:pPr>
          </w:p>
        </w:tc>
        <w:tc>
          <w:tcPr>
            <w:tcW w:w="508" w:type="pct"/>
            <w:hideMark/>
          </w:tcPr>
          <w:p w14:paraId="27ABBB2E"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Activity undertaken when required</w:t>
            </w:r>
          </w:p>
        </w:tc>
        <w:tc>
          <w:tcPr>
            <w:tcW w:w="1728" w:type="pct"/>
          </w:tcPr>
          <w:p w14:paraId="4FAF6234" w14:textId="1A1EAB9C"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Regular presentations of polluting wrecks at OTSOPA and BONN meetings.</w:t>
            </w:r>
          </w:p>
          <w:p w14:paraId="1A4A622A" w14:textId="50BB9D3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Follow up of the EU Interreg-funded project, “North Sea Wrecks”</w:t>
            </w:r>
          </w:p>
        </w:tc>
        <w:tc>
          <w:tcPr>
            <w:tcW w:w="530" w:type="pct"/>
            <w:hideMark/>
          </w:tcPr>
          <w:p w14:paraId="23E0DB22"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32A49523" w14:textId="0443641F" w:rsidR="00413B70"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413B70" w:rsidRPr="00D73834" w14:paraId="2B8A7BAE" w14:textId="77777777" w:rsidTr="00413B70">
        <w:trPr>
          <w:cantSplit/>
        </w:trPr>
        <w:tc>
          <w:tcPr>
            <w:tcW w:w="169" w:type="pct"/>
            <w:hideMark/>
          </w:tcPr>
          <w:p w14:paraId="7F5C0D9C"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19</w:t>
            </w:r>
          </w:p>
        </w:tc>
        <w:tc>
          <w:tcPr>
            <w:tcW w:w="310" w:type="pct"/>
            <w:hideMark/>
          </w:tcPr>
          <w:p w14:paraId="09832258"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B.4</w:t>
            </w:r>
          </w:p>
          <w:p w14:paraId="06C94970"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B.5</w:t>
            </w:r>
          </w:p>
        </w:tc>
        <w:tc>
          <w:tcPr>
            <w:tcW w:w="1755" w:type="pct"/>
            <w:hideMark/>
          </w:tcPr>
          <w:p w14:paraId="7312FB64"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Enhance readiness to receive/offer/transit international assistance making use of the EU Host Nation Support Guidelines.</w:t>
            </w:r>
          </w:p>
        </w:tc>
        <w:tc>
          <w:tcPr>
            <w:tcW w:w="508" w:type="pct"/>
            <w:hideMark/>
          </w:tcPr>
          <w:p w14:paraId="3A4323E3" w14:textId="6023385C"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1728" w:type="pct"/>
            <w:hideMark/>
          </w:tcPr>
          <w:p w14:paraId="5275CA77"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530" w:type="pct"/>
            <w:hideMark/>
          </w:tcPr>
          <w:p w14:paraId="3B0CABC5"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0BE5114C" w14:textId="70267AE2" w:rsidR="00413B70"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413B70" w:rsidRPr="00D73834" w14:paraId="4675F81F" w14:textId="77777777" w:rsidTr="00413B70">
        <w:trPr>
          <w:cantSplit/>
        </w:trPr>
        <w:tc>
          <w:tcPr>
            <w:tcW w:w="169" w:type="pct"/>
            <w:hideMark/>
          </w:tcPr>
          <w:p w14:paraId="7AB7918F"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20</w:t>
            </w:r>
          </w:p>
        </w:tc>
        <w:tc>
          <w:tcPr>
            <w:tcW w:w="310" w:type="pct"/>
            <w:hideMark/>
          </w:tcPr>
          <w:p w14:paraId="6F58027F" w14:textId="77777777" w:rsidR="00413B70" w:rsidRPr="00413B70" w:rsidRDefault="00413B70" w:rsidP="0079403C">
            <w:pPr>
              <w:spacing w:after="60"/>
              <w:jc w:val="left"/>
              <w:rPr>
                <w:rFonts w:asciiTheme="minorHAnsi" w:hAnsiTheme="minorHAnsi" w:cstheme="minorHAnsi"/>
                <w:b/>
                <w:sz w:val="20"/>
              </w:rPr>
            </w:pPr>
            <w:r w:rsidRPr="00413B70">
              <w:rPr>
                <w:rFonts w:asciiTheme="minorHAnsi" w:hAnsiTheme="minorHAnsi" w:cstheme="minorHAnsi"/>
                <w:b/>
                <w:sz w:val="20"/>
              </w:rPr>
              <w:t>B.3</w:t>
            </w:r>
          </w:p>
        </w:tc>
        <w:tc>
          <w:tcPr>
            <w:tcW w:w="1755" w:type="pct"/>
          </w:tcPr>
          <w:p w14:paraId="1E64C38A" w14:textId="77777777" w:rsidR="00413B70" w:rsidRPr="00413B70" w:rsidRDefault="00413B70" w:rsidP="0079403C">
            <w:pPr>
              <w:spacing w:after="60"/>
              <w:jc w:val="left"/>
              <w:rPr>
                <w:rFonts w:asciiTheme="minorHAnsi" w:hAnsiTheme="minorHAnsi" w:cstheme="minorHAnsi"/>
                <w:b/>
                <w:sz w:val="20"/>
              </w:rPr>
            </w:pPr>
            <w:r w:rsidRPr="00413B70">
              <w:rPr>
                <w:rFonts w:asciiTheme="minorHAnsi" w:hAnsiTheme="minorHAnsi" w:cstheme="minorHAnsi"/>
                <w:b/>
                <w:sz w:val="20"/>
              </w:rPr>
              <w:t xml:space="preserve">Plan and undertake regional and sub-regional operational exercises and training, </w:t>
            </w:r>
            <w:proofErr w:type="gramStart"/>
            <w:r w:rsidRPr="00413B70">
              <w:rPr>
                <w:rFonts w:asciiTheme="minorHAnsi" w:hAnsiTheme="minorHAnsi" w:cstheme="minorHAnsi"/>
                <w:b/>
                <w:sz w:val="20"/>
              </w:rPr>
              <w:t>taking into account</w:t>
            </w:r>
            <w:proofErr w:type="gramEnd"/>
            <w:r w:rsidRPr="00413B70">
              <w:rPr>
                <w:rFonts w:asciiTheme="minorHAnsi" w:hAnsiTheme="minorHAnsi" w:cstheme="minorHAnsi"/>
                <w:b/>
                <w:sz w:val="20"/>
              </w:rPr>
              <w:t xml:space="preserve"> strategic needs.</w:t>
            </w:r>
          </w:p>
        </w:tc>
        <w:tc>
          <w:tcPr>
            <w:tcW w:w="508" w:type="pct"/>
          </w:tcPr>
          <w:p w14:paraId="1AAE5349"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1728" w:type="pct"/>
          </w:tcPr>
          <w:p w14:paraId="0AB96C70" w14:textId="251E47D3"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 xml:space="preserve">Super CEPCO 2021 and 2025 </w:t>
            </w:r>
          </w:p>
        </w:tc>
        <w:tc>
          <w:tcPr>
            <w:tcW w:w="530" w:type="pct"/>
            <w:hideMark/>
          </w:tcPr>
          <w:p w14:paraId="680B23BE"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0681BED6" w14:textId="0E6719FA" w:rsidR="00413B70"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413B70" w:rsidRPr="00D73834" w14:paraId="6D63700F" w14:textId="77777777" w:rsidTr="00413B70">
        <w:trPr>
          <w:cantSplit/>
        </w:trPr>
        <w:tc>
          <w:tcPr>
            <w:tcW w:w="169" w:type="pct"/>
            <w:hideMark/>
          </w:tcPr>
          <w:p w14:paraId="36BC8678"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21</w:t>
            </w:r>
          </w:p>
        </w:tc>
        <w:tc>
          <w:tcPr>
            <w:tcW w:w="310" w:type="pct"/>
            <w:hideMark/>
          </w:tcPr>
          <w:p w14:paraId="797F6ED3"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B.3</w:t>
            </w:r>
          </w:p>
        </w:tc>
        <w:tc>
          <w:tcPr>
            <w:tcW w:w="1755" w:type="pct"/>
            <w:hideMark/>
          </w:tcPr>
          <w:p w14:paraId="28CB8E90" w14:textId="77777777" w:rsidR="00413B70" w:rsidRPr="00413B70" w:rsidRDefault="00413B70" w:rsidP="0079403C">
            <w:pPr>
              <w:tabs>
                <w:tab w:val="left" w:pos="770"/>
              </w:tabs>
              <w:spacing w:before="20" w:after="20"/>
              <w:jc w:val="left"/>
              <w:rPr>
                <w:rFonts w:asciiTheme="minorHAnsi" w:hAnsiTheme="minorHAnsi" w:cstheme="minorHAnsi"/>
                <w:b/>
                <w:snapToGrid w:val="0"/>
                <w:sz w:val="20"/>
              </w:rPr>
            </w:pPr>
            <w:r w:rsidRPr="00413B70">
              <w:rPr>
                <w:rFonts w:asciiTheme="minorHAnsi" w:hAnsiTheme="minorHAnsi" w:cstheme="minorHAnsi"/>
                <w:b/>
                <w:sz w:val="20"/>
              </w:rPr>
              <w:t>Organise joint operational combat exercises (BONNEX DELTA), in relation to regional strategic training needs.</w:t>
            </w:r>
          </w:p>
        </w:tc>
        <w:tc>
          <w:tcPr>
            <w:tcW w:w="508" w:type="pct"/>
          </w:tcPr>
          <w:p w14:paraId="2428F22C"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1728" w:type="pct"/>
          </w:tcPr>
          <w:p w14:paraId="30127AFB" w14:textId="4976DAE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BALEX DELTA organised in 2022.</w:t>
            </w:r>
          </w:p>
        </w:tc>
        <w:tc>
          <w:tcPr>
            <w:tcW w:w="530" w:type="pct"/>
            <w:hideMark/>
          </w:tcPr>
          <w:p w14:paraId="010962E4"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5004B790" w14:textId="60237082" w:rsidR="00413B70"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413B70" w:rsidRPr="00D73834" w14:paraId="79FD36D3" w14:textId="77777777" w:rsidTr="00413B70">
        <w:trPr>
          <w:cantSplit/>
        </w:trPr>
        <w:tc>
          <w:tcPr>
            <w:tcW w:w="169" w:type="pct"/>
            <w:hideMark/>
          </w:tcPr>
          <w:p w14:paraId="1ACED97A" w14:textId="77777777" w:rsidR="00413B70" w:rsidRPr="00413B70" w:rsidRDefault="00413B70" w:rsidP="0079403C">
            <w:pPr>
              <w:tabs>
                <w:tab w:val="left" w:pos="720"/>
              </w:tabs>
              <w:spacing w:before="20" w:after="20"/>
              <w:jc w:val="left"/>
              <w:rPr>
                <w:rFonts w:asciiTheme="minorHAnsi" w:hAnsiTheme="minorHAnsi" w:cstheme="minorHAnsi"/>
                <w:b/>
                <w:sz w:val="20"/>
              </w:rPr>
            </w:pPr>
            <w:r w:rsidRPr="00413B70">
              <w:rPr>
                <w:rFonts w:asciiTheme="minorHAnsi" w:hAnsiTheme="minorHAnsi" w:cstheme="minorHAnsi"/>
                <w:b/>
                <w:snapToGrid w:val="0"/>
                <w:sz w:val="20"/>
              </w:rPr>
              <w:t>22</w:t>
            </w:r>
          </w:p>
        </w:tc>
        <w:tc>
          <w:tcPr>
            <w:tcW w:w="310" w:type="pct"/>
            <w:hideMark/>
          </w:tcPr>
          <w:p w14:paraId="0C79D1B3"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B.3</w:t>
            </w:r>
          </w:p>
        </w:tc>
        <w:tc>
          <w:tcPr>
            <w:tcW w:w="1755" w:type="pct"/>
            <w:hideMark/>
          </w:tcPr>
          <w:p w14:paraId="386E723B"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b/>
                <w:sz w:val="20"/>
              </w:rPr>
              <w:t>Establish a system for graduated joint exercises to test and train cooperation in combating spillages</w:t>
            </w:r>
          </w:p>
        </w:tc>
        <w:tc>
          <w:tcPr>
            <w:tcW w:w="508" w:type="pct"/>
            <w:hideMark/>
          </w:tcPr>
          <w:p w14:paraId="00210FBD" w14:textId="31B3F74E"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1728" w:type="pct"/>
            <w:hideMark/>
          </w:tcPr>
          <w:p w14:paraId="7AEB431B" w14:textId="7777777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The COP project under CTG MPPR has covered part of the issue by stating standardised formats for information exchange in preparation and conduct of response operations.</w:t>
            </w:r>
          </w:p>
          <w:p w14:paraId="2E7A5D3E" w14:textId="05FD3E39"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The content of the project will depend on and build on what has already been achieved by other projects like COP</w:t>
            </w:r>
          </w:p>
        </w:tc>
        <w:tc>
          <w:tcPr>
            <w:tcW w:w="530" w:type="pct"/>
          </w:tcPr>
          <w:p w14:paraId="2757E5DF" w14:textId="4EBBC9E1" w:rsidR="00413B70" w:rsidRPr="00413B70" w:rsidRDefault="005B4396"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Completed</w:t>
            </w:r>
          </w:p>
        </w:tc>
      </w:tr>
      <w:tr w:rsidR="00413B70" w:rsidRPr="00D73834" w14:paraId="7E208320" w14:textId="77777777" w:rsidTr="00413B70">
        <w:trPr>
          <w:cantSplit/>
        </w:trPr>
        <w:tc>
          <w:tcPr>
            <w:tcW w:w="169" w:type="pct"/>
            <w:hideMark/>
          </w:tcPr>
          <w:p w14:paraId="022D3238"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lastRenderedPageBreak/>
              <w:t>23</w:t>
            </w:r>
          </w:p>
        </w:tc>
        <w:tc>
          <w:tcPr>
            <w:tcW w:w="310" w:type="pct"/>
            <w:hideMark/>
          </w:tcPr>
          <w:p w14:paraId="1AEC41AC" w14:textId="77777777" w:rsidR="00413B70" w:rsidRPr="00413B70" w:rsidRDefault="00413B70" w:rsidP="0079403C">
            <w:pPr>
              <w:tabs>
                <w:tab w:val="left" w:pos="720"/>
              </w:tabs>
              <w:spacing w:before="20" w:after="20"/>
              <w:jc w:val="left"/>
              <w:rPr>
                <w:rFonts w:asciiTheme="minorHAnsi" w:hAnsiTheme="minorHAnsi" w:cstheme="minorHAnsi"/>
                <w:b/>
                <w:sz w:val="20"/>
              </w:rPr>
            </w:pPr>
            <w:r w:rsidRPr="00413B70">
              <w:rPr>
                <w:rFonts w:asciiTheme="minorHAnsi" w:hAnsiTheme="minorHAnsi" w:cstheme="minorHAnsi"/>
                <w:b/>
                <w:sz w:val="20"/>
              </w:rPr>
              <w:t>B.4</w:t>
            </w:r>
          </w:p>
        </w:tc>
        <w:tc>
          <w:tcPr>
            <w:tcW w:w="1755" w:type="pct"/>
          </w:tcPr>
          <w:p w14:paraId="74A02738"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b/>
                <w:sz w:val="20"/>
              </w:rPr>
              <w:t>Promote the development of national environmental advice systems and related exchanges of information. Consider establishing means of cooperative working (subregional)</w:t>
            </w:r>
          </w:p>
        </w:tc>
        <w:tc>
          <w:tcPr>
            <w:tcW w:w="508" w:type="pct"/>
          </w:tcPr>
          <w:p w14:paraId="3F0D87FB"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OTSOPA 2020</w:t>
            </w:r>
          </w:p>
          <w:p w14:paraId="05266CBF"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1728" w:type="pct"/>
            <w:hideMark/>
          </w:tcPr>
          <w:p w14:paraId="196B98A4"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530" w:type="pct"/>
            <w:hideMark/>
          </w:tcPr>
          <w:p w14:paraId="7D169EF3"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4FCB7C22" w14:textId="67DCBC3F" w:rsidR="00413B70"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413B70" w:rsidRPr="00D73834" w14:paraId="54A4A893" w14:textId="77777777" w:rsidTr="00413B70">
        <w:trPr>
          <w:cantSplit/>
        </w:trPr>
        <w:tc>
          <w:tcPr>
            <w:tcW w:w="169" w:type="pct"/>
            <w:hideMark/>
          </w:tcPr>
          <w:p w14:paraId="40536EF7"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24</w:t>
            </w:r>
          </w:p>
        </w:tc>
        <w:tc>
          <w:tcPr>
            <w:tcW w:w="310" w:type="pct"/>
            <w:hideMark/>
          </w:tcPr>
          <w:p w14:paraId="5BD4DBCF"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B.5</w:t>
            </w:r>
          </w:p>
          <w:p w14:paraId="10018B7D"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B.7</w:t>
            </w:r>
          </w:p>
          <w:p w14:paraId="2650F47B"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B.8</w:t>
            </w:r>
          </w:p>
        </w:tc>
        <w:tc>
          <w:tcPr>
            <w:tcW w:w="1755" w:type="pct"/>
            <w:hideMark/>
          </w:tcPr>
          <w:p w14:paraId="0ABFE3C2"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Strengthen cooperation with REMPEC and HELCOM on the development of a joint HNS Response Manual</w:t>
            </w:r>
          </w:p>
        </w:tc>
        <w:tc>
          <w:tcPr>
            <w:tcW w:w="508" w:type="pct"/>
          </w:tcPr>
          <w:p w14:paraId="7E91517B"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2020</w:t>
            </w:r>
          </w:p>
        </w:tc>
        <w:tc>
          <w:tcPr>
            <w:tcW w:w="1728" w:type="pct"/>
          </w:tcPr>
          <w:p w14:paraId="7B6BE3EC" w14:textId="77148B2F"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 xml:space="preserve">OTSOPA West </w:t>
            </w:r>
            <w:proofErr w:type="spellStart"/>
            <w:r w:rsidRPr="00413B70">
              <w:rPr>
                <w:rFonts w:asciiTheme="minorHAnsi" w:hAnsiTheme="minorHAnsi" w:cstheme="minorHAnsi"/>
                <w:snapToGrid w:val="0"/>
                <w:sz w:val="20"/>
              </w:rPr>
              <w:t>MOPoCO</w:t>
            </w:r>
            <w:proofErr w:type="spellEnd"/>
            <w:r w:rsidRPr="00413B70">
              <w:rPr>
                <w:rFonts w:asciiTheme="minorHAnsi" w:hAnsiTheme="minorHAnsi" w:cstheme="minorHAnsi"/>
                <w:snapToGrid w:val="0"/>
                <w:sz w:val="20"/>
              </w:rPr>
              <w:t xml:space="preserve"> project Correspondence Group established in February 2020 and Inter Regional HNS manual published.</w:t>
            </w:r>
          </w:p>
          <w:p w14:paraId="11E02F57" w14:textId="7777777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 xml:space="preserve">EAP AS discussed harmonisation or Aerial Surveillance reporting format with HELCOM and REMPEC pending SSPD publication. </w:t>
            </w:r>
          </w:p>
        </w:tc>
        <w:tc>
          <w:tcPr>
            <w:tcW w:w="530" w:type="pct"/>
            <w:hideMark/>
          </w:tcPr>
          <w:p w14:paraId="6084C657"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Completed</w:t>
            </w:r>
          </w:p>
        </w:tc>
      </w:tr>
      <w:tr w:rsidR="00413B70" w:rsidRPr="00D73834" w14:paraId="183D7860" w14:textId="77777777" w:rsidTr="00413B70">
        <w:trPr>
          <w:cantSplit/>
        </w:trPr>
        <w:tc>
          <w:tcPr>
            <w:tcW w:w="169" w:type="pct"/>
            <w:hideMark/>
          </w:tcPr>
          <w:p w14:paraId="4BE3F9A6"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25</w:t>
            </w:r>
          </w:p>
        </w:tc>
        <w:tc>
          <w:tcPr>
            <w:tcW w:w="310" w:type="pct"/>
            <w:hideMark/>
          </w:tcPr>
          <w:p w14:paraId="03ED44E0"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B.6</w:t>
            </w:r>
          </w:p>
        </w:tc>
        <w:tc>
          <w:tcPr>
            <w:tcW w:w="1755" w:type="pct"/>
          </w:tcPr>
          <w:p w14:paraId="40780A9C" w14:textId="77777777" w:rsidR="00413B70" w:rsidRPr="00413B70" w:rsidRDefault="00413B70" w:rsidP="0079403C">
            <w:pPr>
              <w:tabs>
                <w:tab w:val="left" w:pos="770"/>
              </w:tabs>
              <w:spacing w:before="20" w:after="20"/>
              <w:jc w:val="left"/>
              <w:rPr>
                <w:rFonts w:asciiTheme="minorHAnsi" w:hAnsiTheme="minorHAnsi" w:cstheme="minorHAnsi"/>
                <w:b/>
                <w:snapToGrid w:val="0"/>
                <w:sz w:val="20"/>
              </w:rPr>
            </w:pPr>
            <w:r w:rsidRPr="00413B70">
              <w:rPr>
                <w:rFonts w:asciiTheme="minorHAnsi" w:hAnsiTheme="minorHAnsi" w:cstheme="minorHAnsi"/>
                <w:b/>
                <w:sz w:val="20"/>
              </w:rPr>
              <w:t xml:space="preserve">Strengthen cooperation with the OSPAR Commission, regional agreements and other international organisations involved in protecting the marine environment from pollution from shipping, offshore oil and gas operations and other maritime activities, </w:t>
            </w:r>
            <w:proofErr w:type="gramStart"/>
            <w:r w:rsidRPr="00413B70">
              <w:rPr>
                <w:rFonts w:asciiTheme="minorHAnsi" w:hAnsiTheme="minorHAnsi" w:cstheme="minorHAnsi"/>
                <w:b/>
                <w:sz w:val="20"/>
              </w:rPr>
              <w:t>taking into account</w:t>
            </w:r>
            <w:proofErr w:type="gramEnd"/>
            <w:r w:rsidRPr="00413B70">
              <w:rPr>
                <w:rFonts w:asciiTheme="minorHAnsi" w:hAnsiTheme="minorHAnsi" w:cstheme="minorHAnsi"/>
                <w:b/>
                <w:sz w:val="20"/>
              </w:rPr>
              <w:t xml:space="preserve"> the obligations under the Marine Strategy Framework and the Water Framework Directives</w:t>
            </w:r>
            <w:r w:rsidRPr="00413B70">
              <w:rPr>
                <w:rStyle w:val="FootnoteReference"/>
                <w:rFonts w:asciiTheme="minorHAnsi" w:hAnsiTheme="minorHAnsi" w:cstheme="minorHAnsi"/>
                <w:b/>
                <w:sz w:val="20"/>
              </w:rPr>
              <w:footnoteReference w:id="1"/>
            </w:r>
            <w:r w:rsidRPr="00413B70">
              <w:rPr>
                <w:rFonts w:asciiTheme="minorHAnsi" w:hAnsiTheme="minorHAnsi" w:cstheme="minorHAnsi"/>
                <w:b/>
                <w:sz w:val="20"/>
              </w:rPr>
              <w:t>.</w:t>
            </w:r>
          </w:p>
        </w:tc>
        <w:tc>
          <w:tcPr>
            <w:tcW w:w="508" w:type="pct"/>
          </w:tcPr>
          <w:p w14:paraId="583BD637"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1728" w:type="pct"/>
          </w:tcPr>
          <w:p w14:paraId="3443A7EA" w14:textId="7777777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MoU between OSPAR and Bonn Agreement signed in October 2021</w:t>
            </w:r>
          </w:p>
          <w:p w14:paraId="2C055FA7" w14:textId="7777777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Feedback from OSPAR Committees and NSN on MSFD obligation D8 regarding monitoring and assessment of significant acute pollution. Participation in the MSFD Core group on acute pollution events.</w:t>
            </w:r>
          </w:p>
          <w:p w14:paraId="75CE93CA" w14:textId="1E052AB1" w:rsidR="00413B70" w:rsidRPr="00413B70" w:rsidRDefault="00413B70" w:rsidP="001B0018">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OSPAR Offshore Industry Committee invited to represent OIC at EAP AS meetings.</w:t>
            </w:r>
          </w:p>
        </w:tc>
        <w:tc>
          <w:tcPr>
            <w:tcW w:w="530" w:type="pct"/>
          </w:tcPr>
          <w:p w14:paraId="0CA33DD8"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156FE134" w14:textId="6D883925" w:rsidR="00413B70"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413B70" w:rsidRPr="00413B70" w14:paraId="56483B20" w14:textId="77777777" w:rsidTr="00413B70">
        <w:trPr>
          <w:cantSplit/>
        </w:trPr>
        <w:tc>
          <w:tcPr>
            <w:tcW w:w="169" w:type="pct"/>
          </w:tcPr>
          <w:p w14:paraId="093FB1CD" w14:textId="4AC3D95B"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lastRenderedPageBreak/>
              <w:t>25</w:t>
            </w:r>
          </w:p>
        </w:tc>
        <w:tc>
          <w:tcPr>
            <w:tcW w:w="310" w:type="pct"/>
          </w:tcPr>
          <w:p w14:paraId="6B94CCC9" w14:textId="77777777" w:rsidR="00413B70" w:rsidRPr="00413B70" w:rsidRDefault="00413B70" w:rsidP="0079403C">
            <w:pPr>
              <w:tabs>
                <w:tab w:val="left" w:pos="770"/>
              </w:tabs>
              <w:spacing w:before="20" w:after="20"/>
              <w:jc w:val="left"/>
              <w:rPr>
                <w:rFonts w:asciiTheme="minorHAnsi" w:hAnsiTheme="minorHAnsi" w:cstheme="minorHAnsi"/>
                <w:b/>
                <w:sz w:val="20"/>
              </w:rPr>
            </w:pPr>
          </w:p>
        </w:tc>
        <w:tc>
          <w:tcPr>
            <w:tcW w:w="1755" w:type="pct"/>
          </w:tcPr>
          <w:p w14:paraId="468119B6" w14:textId="77777777" w:rsidR="00413B70" w:rsidRPr="00413B70" w:rsidRDefault="00413B70" w:rsidP="0079403C">
            <w:pPr>
              <w:tabs>
                <w:tab w:val="left" w:pos="770"/>
              </w:tabs>
              <w:spacing w:before="20" w:after="20"/>
              <w:jc w:val="left"/>
              <w:rPr>
                <w:rFonts w:asciiTheme="minorHAnsi" w:hAnsiTheme="minorHAnsi" w:cstheme="minorHAnsi"/>
                <w:b/>
                <w:sz w:val="20"/>
              </w:rPr>
            </w:pPr>
          </w:p>
        </w:tc>
        <w:tc>
          <w:tcPr>
            <w:tcW w:w="508" w:type="pct"/>
          </w:tcPr>
          <w:p w14:paraId="61C42D50"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1728" w:type="pct"/>
          </w:tcPr>
          <w:p w14:paraId="4FB7D164" w14:textId="53160A9B"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 xml:space="preserve">Bonn Agreement Chair invited to the 2025 OSPAR Ministerial Meeting </w:t>
            </w:r>
          </w:p>
          <w:p w14:paraId="51AC3F5D" w14:textId="683DB965"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Reciprocal BA/HELCOM attendance at key meetings. (Chair of HELCOM Response attended BONN 2019 Ministerial Meeting and HoD for Denmark at Bonn meetings, SEC attended 27 HELCOM response meeting)</w:t>
            </w:r>
          </w:p>
        </w:tc>
        <w:tc>
          <w:tcPr>
            <w:tcW w:w="530" w:type="pct"/>
          </w:tcPr>
          <w:p w14:paraId="5807B46A"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r>
      <w:tr w:rsidR="00413B70" w:rsidRPr="00413B70" w14:paraId="50DFAF79" w14:textId="77777777" w:rsidTr="00413B70">
        <w:trPr>
          <w:cantSplit/>
        </w:trPr>
        <w:tc>
          <w:tcPr>
            <w:tcW w:w="169" w:type="pct"/>
          </w:tcPr>
          <w:p w14:paraId="2C112FD0"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26</w:t>
            </w:r>
          </w:p>
        </w:tc>
        <w:tc>
          <w:tcPr>
            <w:tcW w:w="310" w:type="pct"/>
          </w:tcPr>
          <w:p w14:paraId="2A641BB3"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B.9</w:t>
            </w:r>
          </w:p>
        </w:tc>
        <w:tc>
          <w:tcPr>
            <w:tcW w:w="1755" w:type="pct"/>
          </w:tcPr>
          <w:p w14:paraId="5D877366"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 xml:space="preserve">Trend analysis of the BE-AWARE Project 2030. </w:t>
            </w:r>
            <w:r w:rsidRPr="00413B70">
              <w:rPr>
                <w:rFonts w:asciiTheme="minorHAnsi" w:hAnsiTheme="minorHAnsi" w:cstheme="minorHAnsi"/>
                <w:b/>
                <w:sz w:val="20"/>
              </w:rPr>
              <w:br/>
              <w:t>Evaluate and follow up on the outcomes</w:t>
            </w:r>
          </w:p>
        </w:tc>
        <w:tc>
          <w:tcPr>
            <w:tcW w:w="508" w:type="pct"/>
          </w:tcPr>
          <w:p w14:paraId="3062F3EF"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c>
          <w:tcPr>
            <w:tcW w:w="1728" w:type="pct"/>
          </w:tcPr>
          <w:p w14:paraId="0DE2B007" w14:textId="7777777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Questionnaire to follow up the recommendations from the trend analysis of the BE AWARE sent in 2023. Analysis presented at OTSOPA 23 and BONN 23</w:t>
            </w:r>
          </w:p>
        </w:tc>
        <w:tc>
          <w:tcPr>
            <w:tcW w:w="530" w:type="pct"/>
          </w:tcPr>
          <w:p w14:paraId="4C87B03E"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Completed</w:t>
            </w:r>
          </w:p>
        </w:tc>
      </w:tr>
      <w:tr w:rsidR="00413B70" w:rsidRPr="00413B70" w14:paraId="1E3A0707" w14:textId="77777777" w:rsidTr="00413B70">
        <w:trPr>
          <w:cantSplit/>
        </w:trPr>
        <w:tc>
          <w:tcPr>
            <w:tcW w:w="169" w:type="pct"/>
            <w:hideMark/>
          </w:tcPr>
          <w:p w14:paraId="305B844F"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27</w:t>
            </w:r>
          </w:p>
        </w:tc>
        <w:tc>
          <w:tcPr>
            <w:tcW w:w="310" w:type="pct"/>
            <w:hideMark/>
          </w:tcPr>
          <w:p w14:paraId="41EF8BE3"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B.9</w:t>
            </w:r>
          </w:p>
        </w:tc>
        <w:tc>
          <w:tcPr>
            <w:tcW w:w="1755" w:type="pct"/>
            <w:hideMark/>
          </w:tcPr>
          <w:p w14:paraId="1DD65E5B"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Exchange information/experiences on the increasing size of vessels, renewable energy, offshore oil and gas industry, LNG fuels and port expansions, autonomous ships and radioactive materials.</w:t>
            </w:r>
          </w:p>
        </w:tc>
        <w:tc>
          <w:tcPr>
            <w:tcW w:w="508" w:type="pct"/>
          </w:tcPr>
          <w:p w14:paraId="43EE8933"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1728" w:type="pct"/>
          </w:tcPr>
          <w:p w14:paraId="21B860F7"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530" w:type="pct"/>
            <w:hideMark/>
          </w:tcPr>
          <w:p w14:paraId="378A82AB"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396CA48B" w14:textId="57C3BC47" w:rsidR="00413B70"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bl>
    <w:p w14:paraId="332C5BBB" w14:textId="77777777" w:rsidR="00146C07" w:rsidRPr="00413B70" w:rsidRDefault="00146C07" w:rsidP="00146C07">
      <w:pPr>
        <w:tabs>
          <w:tab w:val="left" w:pos="720"/>
        </w:tabs>
        <w:spacing w:after="0" w:line="240" w:lineRule="auto"/>
        <w:jc w:val="left"/>
        <w:rPr>
          <w:rFonts w:asciiTheme="minorHAnsi" w:hAnsiTheme="minorHAnsi" w:cstheme="minorHAnsi"/>
          <w:snapToGrid w:val="0"/>
          <w:sz w:val="20"/>
        </w:rPr>
      </w:pPr>
    </w:p>
    <w:p w14:paraId="47C7D3A6" w14:textId="77777777" w:rsidR="00146C07" w:rsidRPr="00413B70" w:rsidRDefault="00146C07" w:rsidP="00146C07">
      <w:pPr>
        <w:tabs>
          <w:tab w:val="left" w:pos="720"/>
        </w:tabs>
        <w:spacing w:after="0" w:line="240" w:lineRule="auto"/>
        <w:jc w:val="left"/>
        <w:rPr>
          <w:rFonts w:asciiTheme="minorHAnsi" w:hAnsiTheme="minorHAnsi" w:cstheme="minorHAnsi"/>
          <w:snapToGrid w:val="0"/>
          <w:sz w:val="20"/>
        </w:rPr>
      </w:pPr>
      <w:r w:rsidRPr="00413B70">
        <w:rPr>
          <w:rFonts w:asciiTheme="minorHAnsi" w:hAnsiTheme="minorHAnsi" w:cstheme="minorHAnsi"/>
          <w:snapToGrid w:val="0"/>
          <w:sz w:val="20"/>
        </w:rPr>
        <w:br w:type="page"/>
      </w:r>
    </w:p>
    <w:p w14:paraId="580F626B" w14:textId="762F0619" w:rsidR="00146C07" w:rsidRPr="00413B70" w:rsidRDefault="00146C07" w:rsidP="00146C07">
      <w:pPr>
        <w:keepNext/>
        <w:tabs>
          <w:tab w:val="left" w:pos="720"/>
        </w:tabs>
        <w:spacing w:before="120" w:after="0"/>
        <w:jc w:val="left"/>
        <w:rPr>
          <w:rFonts w:asciiTheme="minorHAnsi" w:hAnsiTheme="minorHAnsi" w:cstheme="minorHAnsi"/>
          <w:szCs w:val="22"/>
        </w:rPr>
      </w:pPr>
      <w:r w:rsidRPr="00413B70">
        <w:rPr>
          <w:rFonts w:asciiTheme="minorHAnsi" w:hAnsiTheme="minorHAnsi" w:cstheme="minorHAnsi"/>
          <w:szCs w:val="22"/>
        </w:rPr>
        <w:lastRenderedPageBreak/>
        <w:t>Tasks 28 – 37 in relation to Strategic Aim C (Response):</w:t>
      </w:r>
    </w:p>
    <w:p w14:paraId="613F77EA" w14:textId="77777777" w:rsidR="00146C07" w:rsidRPr="00413B70" w:rsidRDefault="00146C07" w:rsidP="00146C07">
      <w:pPr>
        <w:keepNext/>
        <w:tabs>
          <w:tab w:val="left" w:pos="1134"/>
          <w:tab w:val="left" w:pos="1701"/>
          <w:tab w:val="left" w:pos="2268"/>
        </w:tabs>
        <w:jc w:val="left"/>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34"/>
        <w:gridCol w:w="924"/>
        <w:gridCol w:w="4874"/>
        <w:gridCol w:w="1418"/>
        <w:gridCol w:w="4819"/>
        <w:gridCol w:w="1479"/>
      </w:tblGrid>
      <w:tr w:rsidR="00413B70" w:rsidRPr="00413B70" w14:paraId="4F892B1E" w14:textId="77777777" w:rsidTr="00413B70">
        <w:trPr>
          <w:cantSplit/>
          <w:tblHeader/>
        </w:trPr>
        <w:tc>
          <w:tcPr>
            <w:tcW w:w="0" w:type="auto"/>
            <w:shd w:val="clear" w:color="auto" w:fill="EDEDED"/>
            <w:hideMark/>
          </w:tcPr>
          <w:p w14:paraId="5AE82C11" w14:textId="77777777" w:rsidR="00413B70" w:rsidRPr="00413B70" w:rsidRDefault="00413B70" w:rsidP="0079403C">
            <w:pPr>
              <w:keepNext/>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Task</w:t>
            </w:r>
          </w:p>
        </w:tc>
        <w:tc>
          <w:tcPr>
            <w:tcW w:w="0" w:type="auto"/>
            <w:shd w:val="clear" w:color="auto" w:fill="EDEDED"/>
            <w:hideMark/>
          </w:tcPr>
          <w:p w14:paraId="17EF5CC6" w14:textId="77777777" w:rsidR="00413B70" w:rsidRPr="00413B70" w:rsidRDefault="00413B70" w:rsidP="0079403C">
            <w:pPr>
              <w:keepNext/>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Strategic Action</w:t>
            </w:r>
          </w:p>
        </w:tc>
        <w:tc>
          <w:tcPr>
            <w:tcW w:w="4874" w:type="dxa"/>
            <w:shd w:val="clear" w:color="auto" w:fill="EDEDED"/>
            <w:hideMark/>
          </w:tcPr>
          <w:p w14:paraId="54C6CE2D" w14:textId="77777777" w:rsidR="00413B70" w:rsidRPr="00413B70" w:rsidRDefault="00413B70" w:rsidP="0079403C">
            <w:pPr>
              <w:keepNext/>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Description</w:t>
            </w:r>
          </w:p>
        </w:tc>
        <w:tc>
          <w:tcPr>
            <w:tcW w:w="1418" w:type="dxa"/>
            <w:shd w:val="clear" w:color="auto" w:fill="EDEDED"/>
            <w:hideMark/>
          </w:tcPr>
          <w:p w14:paraId="69E081AA" w14:textId="77777777" w:rsidR="00413B70" w:rsidRPr="00413B70" w:rsidRDefault="00413B70" w:rsidP="0079403C">
            <w:pPr>
              <w:keepNext/>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Target date</w:t>
            </w:r>
          </w:p>
        </w:tc>
        <w:tc>
          <w:tcPr>
            <w:tcW w:w="4819" w:type="dxa"/>
            <w:shd w:val="clear" w:color="auto" w:fill="EDEDED"/>
            <w:hideMark/>
          </w:tcPr>
          <w:p w14:paraId="4DB80C22" w14:textId="77777777" w:rsidR="00413B70" w:rsidRPr="00413B70" w:rsidRDefault="00413B70" w:rsidP="0079403C">
            <w:pPr>
              <w:keepNext/>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Progress</w:t>
            </w:r>
          </w:p>
        </w:tc>
        <w:tc>
          <w:tcPr>
            <w:tcW w:w="1479" w:type="dxa"/>
            <w:shd w:val="clear" w:color="auto" w:fill="EDEDED"/>
            <w:hideMark/>
          </w:tcPr>
          <w:p w14:paraId="28B65742" w14:textId="77777777" w:rsidR="00413B70" w:rsidRPr="00413B70" w:rsidRDefault="00413B70" w:rsidP="0079403C">
            <w:pPr>
              <w:keepNext/>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Status</w:t>
            </w:r>
          </w:p>
        </w:tc>
      </w:tr>
      <w:tr w:rsidR="00413B70" w:rsidRPr="00413B70" w14:paraId="6ADBE707" w14:textId="77777777" w:rsidTr="00413B70">
        <w:trPr>
          <w:cantSplit/>
        </w:trPr>
        <w:tc>
          <w:tcPr>
            <w:tcW w:w="0" w:type="auto"/>
          </w:tcPr>
          <w:p w14:paraId="5C47F33E"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28</w:t>
            </w:r>
          </w:p>
          <w:p w14:paraId="4F4B6717"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p>
        </w:tc>
        <w:tc>
          <w:tcPr>
            <w:tcW w:w="0" w:type="auto"/>
            <w:hideMark/>
          </w:tcPr>
          <w:p w14:paraId="1ABEC7D5"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C.1</w:t>
            </w:r>
          </w:p>
          <w:p w14:paraId="2404EE21"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C.4.</w:t>
            </w:r>
          </w:p>
        </w:tc>
        <w:tc>
          <w:tcPr>
            <w:tcW w:w="4874" w:type="dxa"/>
          </w:tcPr>
          <w:p w14:paraId="6C3020DB"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Exchange information on lessons learned on incidents including in windfarms, places of refuge and waste management following pollution incidents.</w:t>
            </w:r>
          </w:p>
          <w:p w14:paraId="0D696C98" w14:textId="77777777" w:rsidR="00413B70" w:rsidRPr="00413B70" w:rsidRDefault="00413B70" w:rsidP="0079403C">
            <w:pPr>
              <w:tabs>
                <w:tab w:val="left" w:pos="770"/>
              </w:tabs>
              <w:spacing w:before="20" w:after="20"/>
              <w:jc w:val="left"/>
              <w:rPr>
                <w:rFonts w:asciiTheme="minorHAnsi" w:hAnsiTheme="minorHAnsi" w:cstheme="minorHAnsi"/>
                <w:b/>
                <w:snapToGrid w:val="0"/>
                <w:sz w:val="20"/>
              </w:rPr>
            </w:pPr>
          </w:p>
        </w:tc>
        <w:tc>
          <w:tcPr>
            <w:tcW w:w="1418" w:type="dxa"/>
            <w:hideMark/>
          </w:tcPr>
          <w:p w14:paraId="2077C096"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OTSOPA</w:t>
            </w:r>
          </w:p>
          <w:p w14:paraId="2D240B44"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BONN</w:t>
            </w:r>
          </w:p>
        </w:tc>
        <w:tc>
          <w:tcPr>
            <w:tcW w:w="4819" w:type="dxa"/>
          </w:tcPr>
          <w:p w14:paraId="1F4E37D8" w14:textId="5848ACA8"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Denmark consider</w:t>
            </w:r>
            <w:r>
              <w:rPr>
                <w:rFonts w:asciiTheme="minorHAnsi" w:hAnsiTheme="minorHAnsi" w:cstheme="minorHAnsi"/>
                <w:snapToGrid w:val="0"/>
                <w:sz w:val="20"/>
              </w:rPr>
              <w:t>s</w:t>
            </w:r>
            <w:r w:rsidRPr="00413B70">
              <w:rPr>
                <w:rFonts w:asciiTheme="minorHAnsi" w:hAnsiTheme="minorHAnsi" w:cstheme="minorHAnsi"/>
                <w:snapToGrid w:val="0"/>
                <w:sz w:val="20"/>
              </w:rPr>
              <w:t xml:space="preserve"> designating upcoming energy island(s) Places of Refuge.</w:t>
            </w:r>
          </w:p>
          <w:p w14:paraId="0A114F73" w14:textId="03FB3C65"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Presentation on near misses and exercises of incidents in windfarms at OTSOPA meetings. Considering how this issue can be included in the Manual</w:t>
            </w:r>
          </w:p>
          <w:p w14:paraId="60C93CFF" w14:textId="77777777" w:rsidR="00666C62"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 xml:space="preserve">Use of Lessons Learnt template to report incidents. </w:t>
            </w:r>
          </w:p>
          <w:p w14:paraId="043841DC" w14:textId="6673BBC7" w:rsidR="00413B70" w:rsidRPr="00413B70" w:rsidRDefault="00413B70" w:rsidP="00315B7E">
            <w:pPr>
              <w:tabs>
                <w:tab w:val="left" w:pos="720"/>
              </w:tabs>
              <w:jc w:val="left"/>
              <w:rPr>
                <w:rFonts w:asciiTheme="minorHAnsi" w:hAnsiTheme="minorHAnsi" w:cstheme="minorHAnsi"/>
                <w:snapToGrid w:val="0"/>
                <w:sz w:val="20"/>
              </w:rPr>
            </w:pPr>
            <w:proofErr w:type="spellStart"/>
            <w:r w:rsidRPr="00413B70">
              <w:rPr>
                <w:rFonts w:asciiTheme="minorHAnsi" w:hAnsiTheme="minorHAnsi" w:cstheme="minorHAnsi"/>
                <w:snapToGrid w:val="0"/>
                <w:sz w:val="20"/>
              </w:rPr>
              <w:t>Eg.</w:t>
            </w:r>
            <w:proofErr w:type="spellEnd"/>
            <w:r w:rsidR="00666C62">
              <w:rPr>
                <w:rFonts w:asciiTheme="minorHAnsi" w:hAnsiTheme="minorHAnsi" w:cstheme="minorHAnsi"/>
                <w:snapToGrid w:val="0"/>
                <w:sz w:val="20"/>
              </w:rPr>
              <w:t xml:space="preserve"> </w:t>
            </w:r>
            <w:r w:rsidRPr="00413B70">
              <w:rPr>
                <w:rFonts w:asciiTheme="minorHAnsi" w:hAnsiTheme="minorHAnsi" w:cstheme="minorHAnsi"/>
                <w:snapToGrid w:val="0"/>
                <w:sz w:val="20"/>
              </w:rPr>
              <w:t>Galicia plastic pellets Freemantle Highway incident.</w:t>
            </w:r>
          </w:p>
        </w:tc>
        <w:tc>
          <w:tcPr>
            <w:tcW w:w="1479" w:type="dxa"/>
            <w:hideMark/>
          </w:tcPr>
          <w:p w14:paraId="1D6B60E3"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3E5214CE" w14:textId="3B70B5EA" w:rsidR="00413B70" w:rsidRPr="00413B70" w:rsidRDefault="001B0018" w:rsidP="001B0018">
            <w:pPr>
              <w:tabs>
                <w:tab w:val="left" w:pos="720"/>
              </w:tabs>
              <w:spacing w:before="20" w:after="20"/>
              <w:jc w:val="left"/>
              <w:rPr>
                <w:rFonts w:asciiTheme="minorHAnsi" w:hAnsiTheme="minorHAnsi" w:cstheme="minorHAnsi"/>
                <w:sz w:val="20"/>
              </w:rPr>
            </w:pPr>
            <w:r w:rsidRPr="00413B70">
              <w:rPr>
                <w:rFonts w:asciiTheme="minorHAnsi" w:hAnsiTheme="minorHAnsi" w:cstheme="minorHAnsi"/>
                <w:snapToGrid w:val="0"/>
                <w:sz w:val="20"/>
              </w:rPr>
              <w:t>Ongoing</w:t>
            </w:r>
          </w:p>
        </w:tc>
      </w:tr>
      <w:tr w:rsidR="00413B70" w:rsidRPr="00413B70" w14:paraId="484AEE71" w14:textId="77777777" w:rsidTr="00413B70">
        <w:trPr>
          <w:cantSplit/>
        </w:trPr>
        <w:tc>
          <w:tcPr>
            <w:tcW w:w="0" w:type="auto"/>
            <w:hideMark/>
          </w:tcPr>
          <w:p w14:paraId="113AD4D5"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29</w:t>
            </w:r>
          </w:p>
        </w:tc>
        <w:tc>
          <w:tcPr>
            <w:tcW w:w="0" w:type="auto"/>
            <w:hideMark/>
          </w:tcPr>
          <w:p w14:paraId="1903A867" w14:textId="77777777" w:rsidR="00413B70" w:rsidRPr="00413B70" w:rsidRDefault="00413B70" w:rsidP="0079403C">
            <w:pPr>
              <w:spacing w:after="60"/>
              <w:jc w:val="left"/>
              <w:rPr>
                <w:rFonts w:asciiTheme="minorHAnsi" w:hAnsiTheme="minorHAnsi" w:cstheme="minorHAnsi"/>
                <w:b/>
                <w:sz w:val="20"/>
              </w:rPr>
            </w:pPr>
            <w:r w:rsidRPr="00413B70">
              <w:rPr>
                <w:rFonts w:asciiTheme="minorHAnsi" w:hAnsiTheme="minorHAnsi" w:cstheme="minorHAnsi"/>
                <w:b/>
                <w:sz w:val="20"/>
              </w:rPr>
              <w:t>C.1</w:t>
            </w:r>
          </w:p>
          <w:p w14:paraId="3C6033A9" w14:textId="77777777" w:rsidR="00413B70" w:rsidRPr="00413B70" w:rsidRDefault="00413B70" w:rsidP="0079403C">
            <w:pPr>
              <w:spacing w:after="60"/>
              <w:jc w:val="left"/>
              <w:rPr>
                <w:rFonts w:asciiTheme="minorHAnsi" w:hAnsiTheme="minorHAnsi" w:cstheme="minorHAnsi"/>
                <w:b/>
                <w:sz w:val="20"/>
              </w:rPr>
            </w:pPr>
            <w:r w:rsidRPr="00413B70">
              <w:rPr>
                <w:rFonts w:asciiTheme="minorHAnsi" w:hAnsiTheme="minorHAnsi" w:cstheme="minorHAnsi"/>
                <w:b/>
                <w:sz w:val="20"/>
              </w:rPr>
              <w:t>C.5</w:t>
            </w:r>
          </w:p>
        </w:tc>
        <w:tc>
          <w:tcPr>
            <w:tcW w:w="4874" w:type="dxa"/>
          </w:tcPr>
          <w:p w14:paraId="51AAB5BB" w14:textId="77777777" w:rsidR="00413B70" w:rsidRPr="00413B70" w:rsidRDefault="00413B70" w:rsidP="0079403C">
            <w:pPr>
              <w:spacing w:after="60"/>
              <w:jc w:val="left"/>
              <w:rPr>
                <w:rFonts w:asciiTheme="minorHAnsi" w:hAnsiTheme="minorHAnsi" w:cstheme="minorHAnsi"/>
                <w:b/>
                <w:sz w:val="20"/>
              </w:rPr>
            </w:pPr>
            <w:r w:rsidRPr="00413B70">
              <w:rPr>
                <w:rFonts w:asciiTheme="minorHAnsi" w:hAnsiTheme="minorHAnsi" w:cstheme="minorHAnsi"/>
                <w:b/>
                <w:sz w:val="20"/>
              </w:rPr>
              <w:t xml:space="preserve">Maintain an efficient POLREP-system for the reporting of pollution incidents and the management of </w:t>
            </w:r>
            <w:r w:rsidRPr="00413B70">
              <w:rPr>
                <w:rFonts w:asciiTheme="minorHAnsi" w:hAnsiTheme="minorHAnsi" w:cstheme="minorHAnsi"/>
                <w:b/>
                <w:sz w:val="20"/>
                <w:lang w:val="en-US"/>
              </w:rPr>
              <w:t>requests for and offers of assistance</w:t>
            </w:r>
            <w:r w:rsidRPr="00413B70">
              <w:rPr>
                <w:rFonts w:asciiTheme="minorHAnsi" w:hAnsiTheme="minorHAnsi" w:cstheme="minorHAnsi"/>
                <w:b/>
                <w:sz w:val="20"/>
              </w:rPr>
              <w:t xml:space="preserve"> utilising the Marine Pollution Common Emergency Communication and Information System (CECIS MP) of the European Commission.</w:t>
            </w:r>
          </w:p>
          <w:p w14:paraId="1D0AB0E2" w14:textId="77777777" w:rsidR="00413B70" w:rsidRPr="00413B70" w:rsidRDefault="00413B70" w:rsidP="0079403C">
            <w:pPr>
              <w:tabs>
                <w:tab w:val="left" w:pos="770"/>
              </w:tabs>
              <w:spacing w:before="20" w:after="20"/>
              <w:jc w:val="left"/>
              <w:rPr>
                <w:rFonts w:asciiTheme="minorHAnsi" w:hAnsiTheme="minorHAnsi" w:cstheme="minorHAnsi"/>
                <w:snapToGrid w:val="0"/>
                <w:sz w:val="20"/>
              </w:rPr>
            </w:pPr>
          </w:p>
        </w:tc>
        <w:tc>
          <w:tcPr>
            <w:tcW w:w="1418" w:type="dxa"/>
            <w:hideMark/>
          </w:tcPr>
          <w:p w14:paraId="3E30A1CC" w14:textId="153CADCF"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4819" w:type="dxa"/>
            <w:hideMark/>
          </w:tcPr>
          <w:p w14:paraId="45466B10" w14:textId="799C8084"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 xml:space="preserve">The work on reporting in </w:t>
            </w:r>
            <w:proofErr w:type="spellStart"/>
            <w:r w:rsidRPr="00413B70">
              <w:rPr>
                <w:rFonts w:asciiTheme="minorHAnsi" w:hAnsiTheme="minorHAnsi" w:cstheme="minorHAnsi"/>
                <w:snapToGrid w:val="0"/>
                <w:sz w:val="20"/>
              </w:rPr>
              <w:t>SafeSeaNet</w:t>
            </w:r>
            <w:proofErr w:type="spellEnd"/>
            <w:r w:rsidRPr="00413B70">
              <w:rPr>
                <w:rFonts w:asciiTheme="minorHAnsi" w:hAnsiTheme="minorHAnsi" w:cstheme="minorHAnsi"/>
                <w:snapToGrid w:val="0"/>
                <w:sz w:val="20"/>
              </w:rPr>
              <w:t xml:space="preserve"> has been completed by an EMSA Incident Reporting WG with several Contracting Parties contributing.</w:t>
            </w:r>
          </w:p>
          <w:p w14:paraId="39861AAE" w14:textId="7777777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 xml:space="preserve">EC liaising with EMSA to reflect in CECIS the information included in </w:t>
            </w:r>
            <w:proofErr w:type="spellStart"/>
            <w:r w:rsidRPr="00413B70">
              <w:rPr>
                <w:rFonts w:asciiTheme="minorHAnsi" w:hAnsiTheme="minorHAnsi" w:cstheme="minorHAnsi"/>
                <w:snapToGrid w:val="0"/>
                <w:sz w:val="20"/>
              </w:rPr>
              <w:t>SafeSeaNet</w:t>
            </w:r>
            <w:proofErr w:type="spellEnd"/>
          </w:p>
          <w:p w14:paraId="68BA6531" w14:textId="59192123"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Denmark recommends it should be possible to write and read all POLREP formats in both SSN and CECIS and that CECIS MP becomes an application in EMSA SEG</w:t>
            </w:r>
          </w:p>
        </w:tc>
        <w:tc>
          <w:tcPr>
            <w:tcW w:w="1479" w:type="dxa"/>
            <w:hideMark/>
          </w:tcPr>
          <w:p w14:paraId="013D3A5E"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7E3BEF7A" w14:textId="24F4CC7E" w:rsidR="00413B70" w:rsidRPr="00413B70" w:rsidRDefault="001B0018" w:rsidP="001B0018">
            <w:pPr>
              <w:tabs>
                <w:tab w:val="left" w:pos="720"/>
              </w:tabs>
              <w:spacing w:before="20" w:after="20"/>
              <w:jc w:val="left"/>
              <w:rPr>
                <w:rFonts w:asciiTheme="minorHAnsi" w:hAnsiTheme="minorHAnsi" w:cstheme="minorHAnsi"/>
                <w:sz w:val="20"/>
              </w:rPr>
            </w:pPr>
            <w:r w:rsidRPr="00413B70">
              <w:rPr>
                <w:rFonts w:asciiTheme="minorHAnsi" w:hAnsiTheme="minorHAnsi" w:cstheme="minorHAnsi"/>
                <w:snapToGrid w:val="0"/>
                <w:sz w:val="20"/>
              </w:rPr>
              <w:t>Ongoing</w:t>
            </w:r>
          </w:p>
        </w:tc>
      </w:tr>
      <w:tr w:rsidR="00413B70" w:rsidRPr="00413B70" w14:paraId="17849298" w14:textId="77777777" w:rsidTr="00413B70">
        <w:trPr>
          <w:cantSplit/>
        </w:trPr>
        <w:tc>
          <w:tcPr>
            <w:tcW w:w="0" w:type="auto"/>
            <w:hideMark/>
          </w:tcPr>
          <w:p w14:paraId="7DAA4D0C"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30</w:t>
            </w:r>
          </w:p>
        </w:tc>
        <w:tc>
          <w:tcPr>
            <w:tcW w:w="0" w:type="auto"/>
            <w:hideMark/>
          </w:tcPr>
          <w:p w14:paraId="095ACA10" w14:textId="77777777" w:rsidR="00413B70" w:rsidRPr="00413B70" w:rsidRDefault="00413B70" w:rsidP="0079403C">
            <w:pPr>
              <w:tabs>
                <w:tab w:val="left" w:pos="770"/>
              </w:tabs>
              <w:spacing w:before="20" w:after="20"/>
              <w:jc w:val="left"/>
              <w:rPr>
                <w:rFonts w:asciiTheme="minorHAnsi" w:hAnsiTheme="minorHAnsi" w:cstheme="minorHAnsi"/>
                <w:b/>
                <w:spacing w:val="-2"/>
                <w:sz w:val="20"/>
              </w:rPr>
            </w:pPr>
            <w:r w:rsidRPr="00413B70">
              <w:rPr>
                <w:rFonts w:asciiTheme="minorHAnsi" w:hAnsiTheme="minorHAnsi" w:cstheme="minorHAnsi"/>
                <w:b/>
                <w:spacing w:val="-2"/>
                <w:sz w:val="20"/>
              </w:rPr>
              <w:t>C.2</w:t>
            </w:r>
          </w:p>
        </w:tc>
        <w:tc>
          <w:tcPr>
            <w:tcW w:w="4874" w:type="dxa"/>
          </w:tcPr>
          <w:p w14:paraId="7B066F4C" w14:textId="77777777" w:rsidR="00413B70" w:rsidRPr="00413B70" w:rsidRDefault="00413B70" w:rsidP="0079403C">
            <w:pPr>
              <w:tabs>
                <w:tab w:val="left" w:pos="770"/>
              </w:tabs>
              <w:spacing w:before="20" w:after="20"/>
              <w:jc w:val="left"/>
              <w:rPr>
                <w:rFonts w:asciiTheme="minorHAnsi" w:hAnsiTheme="minorHAnsi" w:cstheme="minorHAnsi"/>
                <w:snapToGrid w:val="0"/>
                <w:sz w:val="20"/>
              </w:rPr>
            </w:pPr>
            <w:r w:rsidRPr="00413B70">
              <w:rPr>
                <w:rFonts w:asciiTheme="minorHAnsi" w:hAnsiTheme="minorHAnsi" w:cstheme="minorHAnsi"/>
                <w:b/>
                <w:spacing w:val="-2"/>
                <w:sz w:val="20"/>
              </w:rPr>
              <w:t>Develop, maintain and keep up to date joint response plans to maritime incidents (DENGERNETH Plan (DE), MANCHEPLAN (UK &amp; FR), Quadripartite Zone Plan (BE), NORBRIT Plan (UK &amp; NO), UK and Ireland MOU), [Bay of Biscay].</w:t>
            </w:r>
          </w:p>
        </w:tc>
        <w:tc>
          <w:tcPr>
            <w:tcW w:w="1418" w:type="dxa"/>
            <w:hideMark/>
          </w:tcPr>
          <w:p w14:paraId="40E8AC3F"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Activity undertaken when required</w:t>
            </w:r>
          </w:p>
        </w:tc>
        <w:tc>
          <w:tcPr>
            <w:tcW w:w="4819" w:type="dxa"/>
          </w:tcPr>
          <w:p w14:paraId="53F11358" w14:textId="7777777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DENGERNETH plan under revision with an aim to change format and content for four years without much progress</w:t>
            </w:r>
          </w:p>
        </w:tc>
        <w:tc>
          <w:tcPr>
            <w:tcW w:w="1479" w:type="dxa"/>
            <w:hideMark/>
          </w:tcPr>
          <w:p w14:paraId="5E55B4EC"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61E13FE3" w14:textId="46EC78F4" w:rsidR="00413B70" w:rsidRPr="00413B70" w:rsidRDefault="001B0018" w:rsidP="001B0018">
            <w:pPr>
              <w:jc w:val="left"/>
              <w:rPr>
                <w:rFonts w:asciiTheme="minorHAnsi" w:hAnsiTheme="minorHAnsi" w:cstheme="minorHAnsi"/>
                <w:sz w:val="20"/>
              </w:rPr>
            </w:pPr>
            <w:r w:rsidRPr="00413B70">
              <w:rPr>
                <w:rFonts w:asciiTheme="minorHAnsi" w:hAnsiTheme="minorHAnsi" w:cstheme="minorHAnsi"/>
                <w:snapToGrid w:val="0"/>
                <w:sz w:val="20"/>
              </w:rPr>
              <w:t>Ongoing</w:t>
            </w:r>
            <w:r w:rsidRPr="00413B70">
              <w:rPr>
                <w:rFonts w:asciiTheme="minorHAnsi" w:hAnsiTheme="minorHAnsi" w:cstheme="minorHAnsi"/>
                <w:sz w:val="20"/>
              </w:rPr>
              <w:t xml:space="preserve"> </w:t>
            </w:r>
          </w:p>
        </w:tc>
      </w:tr>
      <w:tr w:rsidR="00413B70" w:rsidRPr="00413B70" w14:paraId="3C439099" w14:textId="77777777" w:rsidTr="005B4396">
        <w:trPr>
          <w:cantSplit/>
          <w:trHeight w:val="775"/>
        </w:trPr>
        <w:tc>
          <w:tcPr>
            <w:tcW w:w="0" w:type="auto"/>
            <w:hideMark/>
          </w:tcPr>
          <w:p w14:paraId="53F89E9E"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lastRenderedPageBreak/>
              <w:t>31</w:t>
            </w:r>
          </w:p>
        </w:tc>
        <w:tc>
          <w:tcPr>
            <w:tcW w:w="0" w:type="auto"/>
            <w:hideMark/>
          </w:tcPr>
          <w:p w14:paraId="03EA0598" w14:textId="77777777" w:rsidR="00413B70" w:rsidRPr="00413B70" w:rsidRDefault="00413B70" w:rsidP="0079403C">
            <w:pPr>
              <w:tabs>
                <w:tab w:val="left" w:pos="77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C.3</w:t>
            </w:r>
          </w:p>
        </w:tc>
        <w:tc>
          <w:tcPr>
            <w:tcW w:w="4874" w:type="dxa"/>
          </w:tcPr>
          <w:p w14:paraId="43E544CD" w14:textId="77777777" w:rsidR="00413B70" w:rsidRPr="00413B70" w:rsidRDefault="00413B70" w:rsidP="0079403C">
            <w:pPr>
              <w:tabs>
                <w:tab w:val="left" w:pos="77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Maintain information exchange on national wildlife response systems</w:t>
            </w:r>
          </w:p>
        </w:tc>
        <w:tc>
          <w:tcPr>
            <w:tcW w:w="1418" w:type="dxa"/>
          </w:tcPr>
          <w:p w14:paraId="4D8D493C" w14:textId="53E49558"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4819" w:type="dxa"/>
            <w:hideMark/>
          </w:tcPr>
          <w:p w14:paraId="5913F36C" w14:textId="5820ABEA"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Support Sea Alarm’s Project proposal</w:t>
            </w:r>
          </w:p>
          <w:p w14:paraId="3C75B567" w14:textId="7870171B"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Participating in EUROWA 2 workshops</w:t>
            </w:r>
          </w:p>
          <w:p w14:paraId="0F7EEBD4" w14:textId="786CE780"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EUROWA became an observer to the Bonn Agreement in 2021</w:t>
            </w:r>
          </w:p>
        </w:tc>
        <w:tc>
          <w:tcPr>
            <w:tcW w:w="1479" w:type="dxa"/>
            <w:hideMark/>
          </w:tcPr>
          <w:p w14:paraId="1CC9491A"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0306FF05" w14:textId="710626E9" w:rsidR="00413B70" w:rsidRPr="00413B70" w:rsidRDefault="001B0018" w:rsidP="001B0018">
            <w:pPr>
              <w:tabs>
                <w:tab w:val="left" w:pos="720"/>
              </w:tabs>
              <w:spacing w:before="20" w:after="20"/>
              <w:jc w:val="left"/>
              <w:rPr>
                <w:rFonts w:asciiTheme="minorHAnsi" w:hAnsiTheme="minorHAnsi" w:cstheme="minorHAnsi"/>
                <w:sz w:val="20"/>
              </w:rPr>
            </w:pPr>
            <w:r w:rsidRPr="00413B70">
              <w:rPr>
                <w:rFonts w:asciiTheme="minorHAnsi" w:hAnsiTheme="minorHAnsi" w:cstheme="minorHAnsi"/>
                <w:snapToGrid w:val="0"/>
                <w:sz w:val="20"/>
              </w:rPr>
              <w:t>Ongoing</w:t>
            </w:r>
          </w:p>
        </w:tc>
      </w:tr>
      <w:tr w:rsidR="00413B70" w:rsidRPr="00413B70" w14:paraId="2531B257" w14:textId="77777777" w:rsidTr="00413B70">
        <w:trPr>
          <w:cantSplit/>
        </w:trPr>
        <w:tc>
          <w:tcPr>
            <w:tcW w:w="0" w:type="auto"/>
            <w:hideMark/>
          </w:tcPr>
          <w:p w14:paraId="070F19D3"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32</w:t>
            </w:r>
          </w:p>
        </w:tc>
        <w:tc>
          <w:tcPr>
            <w:tcW w:w="0" w:type="auto"/>
            <w:hideMark/>
          </w:tcPr>
          <w:p w14:paraId="695E57C4" w14:textId="77777777" w:rsidR="00413B70" w:rsidRPr="00413B70" w:rsidRDefault="00413B70" w:rsidP="0079403C">
            <w:pPr>
              <w:tabs>
                <w:tab w:val="left" w:pos="770"/>
              </w:tabs>
              <w:spacing w:before="20" w:after="20"/>
              <w:jc w:val="left"/>
              <w:rPr>
                <w:rFonts w:asciiTheme="minorHAnsi" w:hAnsiTheme="minorHAnsi" w:cstheme="minorHAnsi"/>
                <w:b/>
                <w:spacing w:val="-2"/>
                <w:sz w:val="20"/>
              </w:rPr>
            </w:pPr>
            <w:r w:rsidRPr="00413B70">
              <w:rPr>
                <w:rFonts w:asciiTheme="minorHAnsi" w:hAnsiTheme="minorHAnsi" w:cstheme="minorHAnsi"/>
                <w:b/>
                <w:spacing w:val="-2"/>
                <w:sz w:val="20"/>
              </w:rPr>
              <w:t>C.7</w:t>
            </w:r>
          </w:p>
          <w:p w14:paraId="6359E92C" w14:textId="77777777" w:rsidR="00413B70" w:rsidRPr="00413B70" w:rsidRDefault="00413B70" w:rsidP="0079403C">
            <w:pPr>
              <w:tabs>
                <w:tab w:val="left" w:pos="770"/>
              </w:tabs>
              <w:spacing w:before="20" w:after="20"/>
              <w:jc w:val="left"/>
              <w:rPr>
                <w:rFonts w:asciiTheme="minorHAnsi" w:hAnsiTheme="minorHAnsi" w:cstheme="minorHAnsi"/>
                <w:b/>
                <w:spacing w:val="-2"/>
                <w:sz w:val="20"/>
              </w:rPr>
            </w:pPr>
            <w:r w:rsidRPr="00413B70">
              <w:rPr>
                <w:rFonts w:asciiTheme="minorHAnsi" w:hAnsiTheme="minorHAnsi" w:cstheme="minorHAnsi"/>
                <w:b/>
                <w:spacing w:val="-2"/>
                <w:sz w:val="20"/>
              </w:rPr>
              <w:t>C.6</w:t>
            </w:r>
          </w:p>
        </w:tc>
        <w:tc>
          <w:tcPr>
            <w:tcW w:w="4874" w:type="dxa"/>
          </w:tcPr>
          <w:p w14:paraId="0B531734" w14:textId="77777777" w:rsidR="00413B70" w:rsidRPr="00413B70" w:rsidRDefault="00413B70" w:rsidP="0079403C">
            <w:pPr>
              <w:tabs>
                <w:tab w:val="left" w:pos="770"/>
              </w:tabs>
              <w:spacing w:before="20" w:after="20"/>
              <w:jc w:val="left"/>
              <w:rPr>
                <w:rFonts w:asciiTheme="minorHAnsi" w:hAnsiTheme="minorHAnsi" w:cstheme="minorHAnsi"/>
                <w:b/>
                <w:spacing w:val="-2"/>
                <w:sz w:val="20"/>
              </w:rPr>
            </w:pPr>
            <w:r w:rsidRPr="00413B70">
              <w:rPr>
                <w:rFonts w:asciiTheme="minorHAnsi" w:hAnsiTheme="minorHAnsi" w:cstheme="minorHAnsi"/>
                <w:b/>
                <w:spacing w:val="-2"/>
                <w:sz w:val="20"/>
              </w:rPr>
              <w:t>Encourage and, if possible, carry out/perform research and development, and information exchange regarding new generation fuels.</w:t>
            </w:r>
          </w:p>
        </w:tc>
        <w:tc>
          <w:tcPr>
            <w:tcW w:w="1418" w:type="dxa"/>
          </w:tcPr>
          <w:p w14:paraId="0DADCDAE"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4819" w:type="dxa"/>
            <w:hideMark/>
          </w:tcPr>
          <w:p w14:paraId="3D0816BC" w14:textId="781BBB7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IMAROS project coordinated by NO</w:t>
            </w:r>
          </w:p>
          <w:p w14:paraId="7A5D0ACD" w14:textId="71A7B3F9"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Support to IMAROS 2 proposal</w:t>
            </w:r>
          </w:p>
          <w:p w14:paraId="5E7458E0" w14:textId="5FC89EA1"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IMAROS 2 project coordinated by NO</w:t>
            </w:r>
          </w:p>
        </w:tc>
        <w:tc>
          <w:tcPr>
            <w:tcW w:w="1479" w:type="dxa"/>
            <w:hideMark/>
          </w:tcPr>
          <w:p w14:paraId="37CEEA33"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0D000E02" w14:textId="17FB8949" w:rsidR="00413B70" w:rsidRPr="00413B70" w:rsidRDefault="001B0018" w:rsidP="001B0018">
            <w:pPr>
              <w:tabs>
                <w:tab w:val="left" w:pos="720"/>
              </w:tabs>
              <w:spacing w:before="20" w:after="20"/>
              <w:jc w:val="left"/>
              <w:rPr>
                <w:rFonts w:asciiTheme="minorHAnsi" w:hAnsiTheme="minorHAnsi" w:cstheme="minorHAnsi"/>
                <w:sz w:val="20"/>
              </w:rPr>
            </w:pPr>
            <w:r w:rsidRPr="00413B70">
              <w:rPr>
                <w:rFonts w:asciiTheme="minorHAnsi" w:hAnsiTheme="minorHAnsi" w:cstheme="minorHAnsi"/>
                <w:snapToGrid w:val="0"/>
                <w:sz w:val="20"/>
              </w:rPr>
              <w:t>Ongoing</w:t>
            </w:r>
          </w:p>
        </w:tc>
      </w:tr>
      <w:tr w:rsidR="00413B70" w:rsidRPr="00413B70" w14:paraId="0844C300" w14:textId="77777777" w:rsidTr="00413B70">
        <w:trPr>
          <w:cantSplit/>
        </w:trPr>
        <w:tc>
          <w:tcPr>
            <w:tcW w:w="0" w:type="auto"/>
            <w:shd w:val="clear" w:color="auto" w:fill="FFFFFF"/>
            <w:hideMark/>
          </w:tcPr>
          <w:p w14:paraId="7E938A98"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33</w:t>
            </w:r>
          </w:p>
        </w:tc>
        <w:tc>
          <w:tcPr>
            <w:tcW w:w="0" w:type="auto"/>
            <w:shd w:val="clear" w:color="auto" w:fill="FFFFFF"/>
            <w:hideMark/>
          </w:tcPr>
          <w:p w14:paraId="7D38E4FF" w14:textId="77777777" w:rsidR="00413B70" w:rsidRPr="00413B70" w:rsidRDefault="00413B70" w:rsidP="0079403C">
            <w:pPr>
              <w:tabs>
                <w:tab w:val="left" w:pos="770"/>
              </w:tabs>
              <w:spacing w:before="20" w:after="20"/>
              <w:jc w:val="left"/>
              <w:rPr>
                <w:rFonts w:asciiTheme="minorHAnsi" w:hAnsiTheme="minorHAnsi" w:cstheme="minorHAnsi"/>
                <w:b/>
                <w:spacing w:val="-2"/>
                <w:sz w:val="20"/>
              </w:rPr>
            </w:pPr>
            <w:r w:rsidRPr="00413B70">
              <w:rPr>
                <w:rFonts w:asciiTheme="minorHAnsi" w:hAnsiTheme="minorHAnsi" w:cstheme="minorHAnsi"/>
                <w:b/>
                <w:spacing w:val="-2"/>
                <w:sz w:val="20"/>
              </w:rPr>
              <w:t>C.7</w:t>
            </w:r>
          </w:p>
          <w:p w14:paraId="0AB60D8A"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pacing w:val="-2"/>
                <w:sz w:val="20"/>
              </w:rPr>
              <w:t>C.6</w:t>
            </w:r>
          </w:p>
        </w:tc>
        <w:tc>
          <w:tcPr>
            <w:tcW w:w="4874" w:type="dxa"/>
            <w:shd w:val="clear" w:color="auto" w:fill="FFFFFF"/>
          </w:tcPr>
          <w:p w14:paraId="05322733" w14:textId="77777777" w:rsidR="00413B70" w:rsidRPr="00413B70" w:rsidRDefault="00413B70" w:rsidP="0079403C">
            <w:pPr>
              <w:keepNext/>
              <w:keepLines/>
              <w:tabs>
                <w:tab w:val="left" w:pos="1134"/>
                <w:tab w:val="left" w:pos="2268"/>
                <w:tab w:val="left" w:pos="2552"/>
                <w:tab w:val="left" w:pos="3119"/>
                <w:tab w:val="center" w:pos="4320"/>
                <w:tab w:val="right" w:leader="dot" w:pos="8448"/>
                <w:tab w:val="right" w:pos="8640"/>
              </w:tabs>
              <w:spacing w:before="200" w:after="0" w:line="240" w:lineRule="auto"/>
              <w:ind w:right="1134"/>
              <w:jc w:val="left"/>
              <w:outlineLvl w:val="4"/>
              <w:rPr>
                <w:rFonts w:asciiTheme="minorHAnsi" w:hAnsiTheme="minorHAnsi" w:cstheme="minorHAnsi"/>
                <w:b/>
                <w:sz w:val="20"/>
              </w:rPr>
            </w:pPr>
            <w:r w:rsidRPr="00413B70">
              <w:rPr>
                <w:rFonts w:asciiTheme="minorHAnsi" w:hAnsiTheme="minorHAnsi" w:cstheme="minorHAnsi"/>
                <w:b/>
                <w:sz w:val="20"/>
              </w:rPr>
              <w:t xml:space="preserve">Responses and preparedness </w:t>
            </w:r>
            <w:proofErr w:type="gramStart"/>
            <w:r w:rsidRPr="00413B70">
              <w:rPr>
                <w:rFonts w:asciiTheme="minorHAnsi" w:hAnsiTheme="minorHAnsi" w:cstheme="minorHAnsi"/>
                <w:b/>
                <w:sz w:val="20"/>
              </w:rPr>
              <w:t>in regards to</w:t>
            </w:r>
            <w:proofErr w:type="gramEnd"/>
            <w:r w:rsidRPr="00413B70">
              <w:rPr>
                <w:rFonts w:asciiTheme="minorHAnsi" w:hAnsiTheme="minorHAnsi" w:cstheme="minorHAnsi"/>
                <w:b/>
                <w:sz w:val="20"/>
              </w:rPr>
              <w:t xml:space="preserve"> new generation fuels</w:t>
            </w:r>
          </w:p>
          <w:p w14:paraId="70168E9D" w14:textId="77777777" w:rsidR="00413B70" w:rsidRPr="00413B70" w:rsidRDefault="00413B70" w:rsidP="0079403C">
            <w:pPr>
              <w:tabs>
                <w:tab w:val="left" w:pos="0"/>
              </w:tabs>
              <w:spacing w:after="60"/>
              <w:ind w:left="-21"/>
              <w:jc w:val="left"/>
              <w:rPr>
                <w:rFonts w:asciiTheme="minorHAnsi" w:hAnsiTheme="minorHAnsi" w:cstheme="minorHAnsi"/>
                <w:b/>
                <w:sz w:val="20"/>
              </w:rPr>
            </w:pPr>
          </w:p>
        </w:tc>
        <w:tc>
          <w:tcPr>
            <w:tcW w:w="1418" w:type="dxa"/>
          </w:tcPr>
          <w:p w14:paraId="2C6A1AFE"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4819" w:type="dxa"/>
            <w:shd w:val="clear" w:color="auto" w:fill="FFFFFF"/>
            <w:hideMark/>
          </w:tcPr>
          <w:p w14:paraId="220101EC" w14:textId="7777777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Based on response from Task 35</w:t>
            </w:r>
          </w:p>
          <w:p w14:paraId="4F4CCBA2" w14:textId="0AE0DA03"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Project on ammonia fuels</w:t>
            </w:r>
          </w:p>
        </w:tc>
        <w:tc>
          <w:tcPr>
            <w:tcW w:w="1479" w:type="dxa"/>
            <w:shd w:val="clear" w:color="auto" w:fill="FFFFFF"/>
          </w:tcPr>
          <w:p w14:paraId="27CE786F"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5068E2DF" w14:textId="36EEF5AB" w:rsidR="00413B70" w:rsidRPr="00413B70" w:rsidRDefault="001B0018" w:rsidP="001B0018">
            <w:pPr>
              <w:jc w:val="left"/>
              <w:rPr>
                <w:rFonts w:asciiTheme="minorHAnsi" w:hAnsiTheme="minorHAnsi" w:cstheme="minorHAnsi"/>
                <w:sz w:val="20"/>
              </w:rPr>
            </w:pPr>
            <w:r w:rsidRPr="00413B70">
              <w:rPr>
                <w:rFonts w:asciiTheme="minorHAnsi" w:hAnsiTheme="minorHAnsi" w:cstheme="minorHAnsi"/>
                <w:snapToGrid w:val="0"/>
                <w:sz w:val="20"/>
              </w:rPr>
              <w:t>Ongoing</w:t>
            </w:r>
          </w:p>
        </w:tc>
      </w:tr>
      <w:tr w:rsidR="00413B70" w:rsidRPr="00413B70" w14:paraId="2DA3F364" w14:textId="77777777" w:rsidTr="00413B70">
        <w:trPr>
          <w:cantSplit/>
        </w:trPr>
        <w:tc>
          <w:tcPr>
            <w:tcW w:w="0" w:type="auto"/>
            <w:hideMark/>
          </w:tcPr>
          <w:p w14:paraId="50F98E26"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34</w:t>
            </w:r>
          </w:p>
        </w:tc>
        <w:tc>
          <w:tcPr>
            <w:tcW w:w="0" w:type="auto"/>
            <w:hideMark/>
          </w:tcPr>
          <w:p w14:paraId="10CF15A9" w14:textId="77777777" w:rsidR="00413B70" w:rsidRPr="00413B70" w:rsidRDefault="00413B70" w:rsidP="0079403C">
            <w:pPr>
              <w:tabs>
                <w:tab w:val="left" w:pos="770"/>
              </w:tabs>
              <w:spacing w:before="20" w:after="20"/>
              <w:jc w:val="left"/>
              <w:rPr>
                <w:rFonts w:asciiTheme="minorHAnsi" w:hAnsiTheme="minorHAnsi" w:cstheme="minorHAnsi"/>
                <w:b/>
                <w:spacing w:val="-2"/>
                <w:sz w:val="20"/>
              </w:rPr>
            </w:pPr>
            <w:r w:rsidRPr="00413B70">
              <w:rPr>
                <w:rFonts w:asciiTheme="minorHAnsi" w:hAnsiTheme="minorHAnsi" w:cstheme="minorHAnsi"/>
                <w:b/>
                <w:spacing w:val="-2"/>
                <w:sz w:val="20"/>
              </w:rPr>
              <w:t>C.6</w:t>
            </w:r>
          </w:p>
        </w:tc>
        <w:tc>
          <w:tcPr>
            <w:tcW w:w="4874" w:type="dxa"/>
            <w:hideMark/>
          </w:tcPr>
          <w:p w14:paraId="737E9D4D" w14:textId="77777777" w:rsidR="00413B70" w:rsidRPr="00413B70" w:rsidRDefault="00413B70" w:rsidP="0079403C">
            <w:pPr>
              <w:tabs>
                <w:tab w:val="left" w:pos="770"/>
              </w:tabs>
              <w:spacing w:before="20" w:after="20"/>
              <w:jc w:val="left"/>
              <w:rPr>
                <w:rFonts w:asciiTheme="minorHAnsi" w:hAnsiTheme="minorHAnsi" w:cstheme="minorHAnsi"/>
                <w:b/>
                <w:spacing w:val="-2"/>
                <w:sz w:val="20"/>
              </w:rPr>
            </w:pPr>
            <w:r w:rsidRPr="00413B70">
              <w:rPr>
                <w:rFonts w:asciiTheme="minorHAnsi" w:hAnsiTheme="minorHAnsi" w:cstheme="minorHAnsi"/>
                <w:b/>
                <w:spacing w:val="-2"/>
                <w:sz w:val="20"/>
              </w:rPr>
              <w:t>Exchange information on and encourage further research of pollution incidents including:</w:t>
            </w:r>
          </w:p>
          <w:p w14:paraId="5B6599EB" w14:textId="77777777" w:rsidR="00413B70" w:rsidRPr="00413B70" w:rsidRDefault="00413B70" w:rsidP="000326B5">
            <w:pPr>
              <w:pStyle w:val="ListParagraph"/>
              <w:numPr>
                <w:ilvl w:val="0"/>
                <w:numId w:val="6"/>
              </w:numPr>
              <w:tabs>
                <w:tab w:val="left" w:pos="376"/>
              </w:tabs>
              <w:spacing w:before="20" w:after="20" w:line="280" w:lineRule="atLeast"/>
              <w:ind w:left="376" w:hanging="376"/>
              <w:contextualSpacing/>
              <w:jc w:val="left"/>
              <w:rPr>
                <w:rFonts w:asciiTheme="minorHAnsi" w:hAnsiTheme="minorHAnsi" w:cstheme="minorHAnsi"/>
                <w:b/>
                <w:spacing w:val="-2"/>
                <w:sz w:val="20"/>
                <w:szCs w:val="20"/>
              </w:rPr>
            </w:pPr>
            <w:r w:rsidRPr="00413B70">
              <w:rPr>
                <w:rFonts w:asciiTheme="minorHAnsi" w:hAnsiTheme="minorHAnsi" w:cstheme="minorHAnsi"/>
                <w:b/>
                <w:spacing w:val="-2"/>
                <w:sz w:val="20"/>
                <w:szCs w:val="20"/>
              </w:rPr>
              <w:t xml:space="preserve">on accidents at night, in bad visibility and under bad weather </w:t>
            </w:r>
            <w:proofErr w:type="gramStart"/>
            <w:r w:rsidRPr="00413B70">
              <w:rPr>
                <w:rFonts w:asciiTheme="minorHAnsi" w:hAnsiTheme="minorHAnsi" w:cstheme="minorHAnsi"/>
                <w:b/>
                <w:spacing w:val="-2"/>
                <w:sz w:val="20"/>
                <w:szCs w:val="20"/>
              </w:rPr>
              <w:t>conditions;</w:t>
            </w:r>
            <w:proofErr w:type="gramEnd"/>
          </w:p>
          <w:p w14:paraId="63CEAB74" w14:textId="77777777" w:rsidR="00413B70" w:rsidRPr="00413B70" w:rsidRDefault="00413B70" w:rsidP="000326B5">
            <w:pPr>
              <w:pStyle w:val="ListParagraph"/>
              <w:numPr>
                <w:ilvl w:val="0"/>
                <w:numId w:val="6"/>
              </w:numPr>
              <w:tabs>
                <w:tab w:val="left" w:pos="376"/>
              </w:tabs>
              <w:spacing w:before="20" w:after="20" w:line="280" w:lineRule="atLeast"/>
              <w:ind w:left="376" w:hanging="376"/>
              <w:contextualSpacing/>
              <w:jc w:val="left"/>
              <w:rPr>
                <w:rFonts w:asciiTheme="minorHAnsi" w:hAnsiTheme="minorHAnsi" w:cstheme="minorHAnsi"/>
                <w:b/>
                <w:spacing w:val="-2"/>
                <w:sz w:val="20"/>
                <w:szCs w:val="20"/>
              </w:rPr>
            </w:pPr>
            <w:r w:rsidRPr="00413B70">
              <w:rPr>
                <w:rFonts w:asciiTheme="minorHAnsi" w:hAnsiTheme="minorHAnsi" w:cstheme="minorHAnsi"/>
                <w:b/>
                <w:spacing w:val="-2"/>
                <w:sz w:val="20"/>
                <w:szCs w:val="20"/>
              </w:rPr>
              <w:t xml:space="preserve">on accidents involving heavy oil and chemical accidents, floating objects, possibly through externally funded </w:t>
            </w:r>
            <w:proofErr w:type="gramStart"/>
            <w:r w:rsidRPr="00413B70">
              <w:rPr>
                <w:rFonts w:asciiTheme="minorHAnsi" w:hAnsiTheme="minorHAnsi" w:cstheme="minorHAnsi"/>
                <w:b/>
                <w:spacing w:val="-2"/>
                <w:sz w:val="20"/>
                <w:szCs w:val="20"/>
              </w:rPr>
              <w:t>projects;</w:t>
            </w:r>
            <w:proofErr w:type="gramEnd"/>
          </w:p>
          <w:p w14:paraId="0A946E3D" w14:textId="77777777" w:rsidR="00413B70" w:rsidRPr="00413B70" w:rsidRDefault="00413B70" w:rsidP="000326B5">
            <w:pPr>
              <w:pStyle w:val="ListParagraph"/>
              <w:numPr>
                <w:ilvl w:val="0"/>
                <w:numId w:val="6"/>
              </w:numPr>
              <w:tabs>
                <w:tab w:val="left" w:pos="376"/>
              </w:tabs>
              <w:spacing w:before="20" w:after="20" w:line="280" w:lineRule="atLeast"/>
              <w:ind w:left="376" w:hanging="376"/>
              <w:contextualSpacing/>
              <w:jc w:val="left"/>
              <w:rPr>
                <w:rFonts w:asciiTheme="minorHAnsi" w:hAnsiTheme="minorHAnsi" w:cstheme="minorHAnsi"/>
                <w:b/>
                <w:sz w:val="20"/>
                <w:szCs w:val="20"/>
              </w:rPr>
            </w:pPr>
            <w:r w:rsidRPr="00413B70">
              <w:rPr>
                <w:rFonts w:asciiTheme="minorHAnsi" w:hAnsiTheme="minorHAnsi" w:cstheme="minorHAnsi"/>
                <w:b/>
                <w:spacing w:val="-2"/>
                <w:sz w:val="20"/>
                <w:szCs w:val="20"/>
              </w:rPr>
              <w:t xml:space="preserve">on response technologies, equipment and other operational means, </w:t>
            </w:r>
            <w:proofErr w:type="gramStart"/>
            <w:r w:rsidRPr="00413B70">
              <w:rPr>
                <w:rFonts w:asciiTheme="minorHAnsi" w:hAnsiTheme="minorHAnsi" w:cstheme="minorHAnsi"/>
                <w:b/>
                <w:spacing w:val="-2"/>
                <w:sz w:val="20"/>
                <w:szCs w:val="20"/>
              </w:rPr>
              <w:t>in particular on</w:t>
            </w:r>
            <w:proofErr w:type="gramEnd"/>
            <w:r w:rsidRPr="00413B70">
              <w:rPr>
                <w:rFonts w:asciiTheme="minorHAnsi" w:hAnsiTheme="minorHAnsi" w:cstheme="minorHAnsi"/>
                <w:b/>
                <w:spacing w:val="-2"/>
                <w:sz w:val="20"/>
                <w:szCs w:val="20"/>
              </w:rPr>
              <w:t xml:space="preserve"> integrated surveillance sensors, oil spill drift modelling and decision-support tools, and response technologies.</w:t>
            </w:r>
          </w:p>
        </w:tc>
        <w:tc>
          <w:tcPr>
            <w:tcW w:w="1418" w:type="dxa"/>
            <w:hideMark/>
          </w:tcPr>
          <w:p w14:paraId="7B55DF9E"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4819" w:type="dxa"/>
            <w:hideMark/>
          </w:tcPr>
          <w:p w14:paraId="02A49EC4" w14:textId="6F184B4D"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Research projects on plastic pellets</w:t>
            </w:r>
          </w:p>
          <w:p w14:paraId="006B8831" w14:textId="7777777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Letter of support from the BA on project POLARIS</w:t>
            </w:r>
          </w:p>
        </w:tc>
        <w:tc>
          <w:tcPr>
            <w:tcW w:w="1479" w:type="dxa"/>
          </w:tcPr>
          <w:p w14:paraId="04D20A5B"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3854821E" w14:textId="08E3EDE6" w:rsidR="00413B70"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413B70" w:rsidRPr="00413B70" w14:paraId="576E4A39" w14:textId="77777777" w:rsidTr="00413B70">
        <w:trPr>
          <w:cantSplit/>
        </w:trPr>
        <w:tc>
          <w:tcPr>
            <w:tcW w:w="0" w:type="auto"/>
            <w:hideMark/>
          </w:tcPr>
          <w:p w14:paraId="05BD0E56"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35</w:t>
            </w:r>
          </w:p>
        </w:tc>
        <w:tc>
          <w:tcPr>
            <w:tcW w:w="0" w:type="auto"/>
            <w:hideMark/>
          </w:tcPr>
          <w:p w14:paraId="40DBA5E6"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C.6</w:t>
            </w:r>
          </w:p>
        </w:tc>
        <w:tc>
          <w:tcPr>
            <w:tcW w:w="4874" w:type="dxa"/>
            <w:hideMark/>
          </w:tcPr>
          <w:p w14:paraId="45784C49"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Consideration and development of a project proposal for a regional risk assessment for HNS.</w:t>
            </w:r>
          </w:p>
        </w:tc>
        <w:tc>
          <w:tcPr>
            <w:tcW w:w="1418" w:type="dxa"/>
          </w:tcPr>
          <w:p w14:paraId="33135D4B"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4819" w:type="dxa"/>
            <w:hideMark/>
          </w:tcPr>
          <w:p w14:paraId="4DFDCA56" w14:textId="7777777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Participation in the Correspondence Group on Data and Risk Assessment (CG-DRA) led by EMSA</w:t>
            </w:r>
          </w:p>
        </w:tc>
        <w:tc>
          <w:tcPr>
            <w:tcW w:w="1479" w:type="dxa"/>
          </w:tcPr>
          <w:p w14:paraId="0F7818F8"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1C4832DD" w14:textId="0D62A17D" w:rsidR="00413B70"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413B70" w:rsidRPr="00413B70" w14:paraId="4B019F1E" w14:textId="77777777" w:rsidTr="00413B70">
        <w:trPr>
          <w:cantSplit/>
        </w:trPr>
        <w:tc>
          <w:tcPr>
            <w:tcW w:w="0" w:type="auto"/>
            <w:hideMark/>
          </w:tcPr>
          <w:p w14:paraId="3D224892"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lastRenderedPageBreak/>
              <w:t>36</w:t>
            </w:r>
          </w:p>
        </w:tc>
        <w:tc>
          <w:tcPr>
            <w:tcW w:w="0" w:type="auto"/>
            <w:hideMark/>
          </w:tcPr>
          <w:p w14:paraId="6746D70A"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C.6</w:t>
            </w:r>
          </w:p>
        </w:tc>
        <w:tc>
          <w:tcPr>
            <w:tcW w:w="4874" w:type="dxa"/>
            <w:hideMark/>
          </w:tcPr>
          <w:p w14:paraId="23B477D8"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 xml:space="preserve">Promote continued research on HNS, </w:t>
            </w:r>
            <w:r w:rsidRPr="00413B70">
              <w:rPr>
                <w:rFonts w:asciiTheme="minorHAnsi" w:hAnsiTheme="minorHAnsi" w:cstheme="minorHAnsi"/>
                <w:b/>
                <w:i/>
                <w:sz w:val="20"/>
              </w:rPr>
              <w:t>inter alia</w:t>
            </w:r>
            <w:r w:rsidRPr="00413B70">
              <w:rPr>
                <w:rFonts w:asciiTheme="minorHAnsi" w:hAnsiTheme="minorHAnsi" w:cstheme="minorHAnsi"/>
                <w:b/>
                <w:sz w:val="20"/>
              </w:rPr>
              <w:t xml:space="preserve"> on HNS response technologies, testing of HNS properties and behaviour in non-standard conditions, and further developments in, and validation of advanced decision-support tools.</w:t>
            </w:r>
          </w:p>
        </w:tc>
        <w:tc>
          <w:tcPr>
            <w:tcW w:w="1418" w:type="dxa"/>
          </w:tcPr>
          <w:p w14:paraId="5D6671CF"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4819" w:type="dxa"/>
          </w:tcPr>
          <w:p w14:paraId="43D72317" w14:textId="120DBB3E"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MANIFESTS project</w:t>
            </w:r>
          </w:p>
          <w:p w14:paraId="2F69F017" w14:textId="33D4ED26"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IRA-Mar project</w:t>
            </w:r>
          </w:p>
          <w:p w14:paraId="0E2C67D1" w14:textId="6A8875A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 xml:space="preserve">MANIFESTS Genius project </w:t>
            </w:r>
          </w:p>
          <w:p w14:paraId="46F077DF" w14:textId="77777777" w:rsidR="00413B70" w:rsidRPr="00413B70" w:rsidRDefault="00413B70" w:rsidP="00315B7E">
            <w:pPr>
              <w:tabs>
                <w:tab w:val="left" w:pos="720"/>
              </w:tabs>
              <w:jc w:val="left"/>
              <w:rPr>
                <w:rFonts w:asciiTheme="minorHAnsi" w:hAnsiTheme="minorHAnsi" w:cstheme="minorHAnsi"/>
                <w:snapToGrid w:val="0"/>
                <w:sz w:val="20"/>
              </w:rPr>
            </w:pPr>
            <w:r w:rsidRPr="00413B70">
              <w:rPr>
                <w:rFonts w:asciiTheme="minorHAnsi" w:hAnsiTheme="minorHAnsi" w:cstheme="minorHAnsi"/>
                <w:snapToGrid w:val="0"/>
                <w:sz w:val="20"/>
              </w:rPr>
              <w:t xml:space="preserve">MANIFESTS Genius workshop </w:t>
            </w:r>
            <w:proofErr w:type="gramStart"/>
            <w:r w:rsidRPr="00413B70">
              <w:rPr>
                <w:rFonts w:asciiTheme="minorHAnsi" w:hAnsiTheme="minorHAnsi" w:cstheme="minorHAnsi"/>
                <w:snapToGrid w:val="0"/>
                <w:sz w:val="20"/>
              </w:rPr>
              <w:t>back to back</w:t>
            </w:r>
            <w:proofErr w:type="gramEnd"/>
            <w:r w:rsidRPr="00413B70">
              <w:rPr>
                <w:rFonts w:asciiTheme="minorHAnsi" w:hAnsiTheme="minorHAnsi" w:cstheme="minorHAnsi"/>
                <w:snapToGrid w:val="0"/>
                <w:sz w:val="20"/>
              </w:rPr>
              <w:t xml:space="preserve"> with OTSOPA 2025</w:t>
            </w:r>
          </w:p>
        </w:tc>
        <w:tc>
          <w:tcPr>
            <w:tcW w:w="1479" w:type="dxa"/>
          </w:tcPr>
          <w:p w14:paraId="10528B20" w14:textId="77777777" w:rsidR="001B0018" w:rsidRDefault="001B0018" w:rsidP="001B0018">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On track</w:t>
            </w:r>
          </w:p>
          <w:p w14:paraId="1233816D" w14:textId="49B007B1" w:rsidR="00413B70" w:rsidRPr="00413B70" w:rsidRDefault="001B0018" w:rsidP="001B0018">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Ongoing</w:t>
            </w:r>
          </w:p>
        </w:tc>
      </w:tr>
      <w:tr w:rsidR="00413B70" w:rsidRPr="00413B70" w14:paraId="1FEF39D2" w14:textId="77777777" w:rsidTr="00413B70">
        <w:trPr>
          <w:cantSplit/>
        </w:trPr>
        <w:tc>
          <w:tcPr>
            <w:tcW w:w="0" w:type="auto"/>
            <w:hideMark/>
          </w:tcPr>
          <w:p w14:paraId="1842106D" w14:textId="77777777" w:rsidR="00413B70" w:rsidRPr="00413B70" w:rsidRDefault="00413B70" w:rsidP="0079403C">
            <w:pPr>
              <w:tabs>
                <w:tab w:val="left" w:pos="720"/>
              </w:tabs>
              <w:spacing w:before="20" w:after="20"/>
              <w:jc w:val="left"/>
              <w:rPr>
                <w:rFonts w:asciiTheme="minorHAnsi" w:hAnsiTheme="minorHAnsi" w:cstheme="minorHAnsi"/>
                <w:b/>
                <w:snapToGrid w:val="0"/>
                <w:sz w:val="20"/>
              </w:rPr>
            </w:pPr>
            <w:r w:rsidRPr="00413B70">
              <w:rPr>
                <w:rFonts w:asciiTheme="minorHAnsi" w:hAnsiTheme="minorHAnsi" w:cstheme="minorHAnsi"/>
                <w:b/>
                <w:snapToGrid w:val="0"/>
                <w:sz w:val="20"/>
              </w:rPr>
              <w:t>37</w:t>
            </w:r>
          </w:p>
        </w:tc>
        <w:tc>
          <w:tcPr>
            <w:tcW w:w="0" w:type="auto"/>
            <w:hideMark/>
          </w:tcPr>
          <w:p w14:paraId="397CE6DC"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C.8.</w:t>
            </w:r>
          </w:p>
        </w:tc>
        <w:tc>
          <w:tcPr>
            <w:tcW w:w="4874" w:type="dxa"/>
            <w:hideMark/>
          </w:tcPr>
          <w:p w14:paraId="07B167C8" w14:textId="77777777" w:rsidR="00413B70" w:rsidRPr="00413B70" w:rsidRDefault="00413B70" w:rsidP="0079403C">
            <w:pPr>
              <w:tabs>
                <w:tab w:val="left" w:pos="770"/>
              </w:tabs>
              <w:spacing w:before="20" w:after="20"/>
              <w:jc w:val="left"/>
              <w:rPr>
                <w:rFonts w:asciiTheme="minorHAnsi" w:hAnsiTheme="minorHAnsi" w:cstheme="minorHAnsi"/>
                <w:b/>
                <w:sz w:val="20"/>
              </w:rPr>
            </w:pPr>
            <w:r w:rsidRPr="00413B70">
              <w:rPr>
                <w:rFonts w:asciiTheme="minorHAnsi" w:hAnsiTheme="minorHAnsi" w:cstheme="minorHAnsi"/>
                <w:b/>
                <w:sz w:val="20"/>
              </w:rPr>
              <w:t>Exchange of information on national risk assessment systems, including emergency towing.</w:t>
            </w:r>
          </w:p>
        </w:tc>
        <w:tc>
          <w:tcPr>
            <w:tcW w:w="1418" w:type="dxa"/>
            <w:hideMark/>
          </w:tcPr>
          <w:p w14:paraId="3BE71FAD"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r w:rsidRPr="00413B70">
              <w:rPr>
                <w:rFonts w:asciiTheme="minorHAnsi" w:hAnsiTheme="minorHAnsi" w:cstheme="minorHAnsi"/>
                <w:snapToGrid w:val="0"/>
                <w:sz w:val="20"/>
              </w:rPr>
              <w:t>Activities undertaken when required</w:t>
            </w:r>
          </w:p>
        </w:tc>
        <w:tc>
          <w:tcPr>
            <w:tcW w:w="4819" w:type="dxa"/>
          </w:tcPr>
          <w:p w14:paraId="0212F81C" w14:textId="77777777" w:rsidR="00413B70" w:rsidRPr="00413B70" w:rsidRDefault="00413B70" w:rsidP="0079403C">
            <w:pPr>
              <w:tabs>
                <w:tab w:val="left" w:pos="720"/>
              </w:tabs>
              <w:spacing w:before="20" w:after="20"/>
              <w:jc w:val="left"/>
              <w:rPr>
                <w:rFonts w:asciiTheme="minorHAnsi" w:hAnsiTheme="minorHAnsi" w:cstheme="minorHAnsi"/>
                <w:snapToGrid w:val="0"/>
                <w:sz w:val="20"/>
              </w:rPr>
            </w:pPr>
          </w:p>
        </w:tc>
        <w:tc>
          <w:tcPr>
            <w:tcW w:w="1479" w:type="dxa"/>
          </w:tcPr>
          <w:p w14:paraId="2CC4F662" w14:textId="3804D56F" w:rsidR="00413B70" w:rsidRPr="00413B70" w:rsidRDefault="001B0018" w:rsidP="0079403C">
            <w:pPr>
              <w:tabs>
                <w:tab w:val="left" w:pos="720"/>
              </w:tabs>
              <w:spacing w:before="20" w:after="20"/>
              <w:jc w:val="left"/>
              <w:rPr>
                <w:rFonts w:asciiTheme="minorHAnsi" w:hAnsiTheme="minorHAnsi" w:cstheme="minorHAnsi"/>
                <w:snapToGrid w:val="0"/>
                <w:sz w:val="20"/>
              </w:rPr>
            </w:pPr>
            <w:r>
              <w:rPr>
                <w:rFonts w:asciiTheme="minorHAnsi" w:hAnsiTheme="minorHAnsi" w:cstheme="minorHAnsi"/>
                <w:snapToGrid w:val="0"/>
                <w:sz w:val="20"/>
              </w:rPr>
              <w:t>Not on track</w:t>
            </w:r>
          </w:p>
        </w:tc>
      </w:tr>
    </w:tbl>
    <w:p w14:paraId="3789F479" w14:textId="77777777" w:rsidR="00146C07" w:rsidRPr="00D73834" w:rsidRDefault="00146C07" w:rsidP="00146C07">
      <w:pPr>
        <w:pStyle w:val="Title"/>
        <w:tabs>
          <w:tab w:val="right" w:leader="underscore" w:pos="9639"/>
        </w:tabs>
        <w:spacing w:after="0"/>
        <w:rPr>
          <w:rFonts w:asciiTheme="minorHAnsi" w:hAnsiTheme="minorHAnsi" w:cstheme="minorHAnsi"/>
          <w:sz w:val="24"/>
          <w:szCs w:val="24"/>
        </w:rPr>
      </w:pPr>
    </w:p>
    <w:p w14:paraId="60EBD8D1" w14:textId="2C9EC869" w:rsidR="003D7B1B" w:rsidRPr="001C4DDE" w:rsidRDefault="003D7B1B" w:rsidP="00D620E5">
      <w:pPr>
        <w:rPr>
          <w:rFonts w:asciiTheme="minorHAnsi" w:eastAsiaTheme="minorHAnsi" w:hAnsiTheme="minorHAnsi" w:cstheme="minorHAnsi"/>
          <w:sz w:val="20"/>
        </w:rPr>
      </w:pPr>
    </w:p>
    <w:sectPr w:rsidR="003D7B1B" w:rsidRPr="001C4DDE" w:rsidSect="00146C07">
      <w:headerReference w:type="default" r:id="rId16"/>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33DA" w14:textId="77777777" w:rsidR="002D2B82" w:rsidRDefault="002D2B82">
      <w:r>
        <w:separator/>
      </w:r>
    </w:p>
  </w:endnote>
  <w:endnote w:type="continuationSeparator" w:id="0">
    <w:p w14:paraId="1E900594" w14:textId="77777777" w:rsidR="002D2B82" w:rsidRDefault="002D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504835"/>
      <w:docPartObj>
        <w:docPartGallery w:val="Page Numbers (Bottom of Page)"/>
        <w:docPartUnique/>
      </w:docPartObj>
    </w:sdtPr>
    <w:sdtEndPr>
      <w:rPr>
        <w:noProof/>
        <w:sz w:val="20"/>
      </w:rPr>
    </w:sdtEndPr>
    <w:sdtContent>
      <w:p w14:paraId="2C5A2CE3" w14:textId="3CFA8BD2" w:rsidR="00B22F9D" w:rsidRPr="00543AD6" w:rsidRDefault="00AC7E52" w:rsidP="00543AD6">
        <w:pPr>
          <w:tabs>
            <w:tab w:val="right" w:leader="underscore" w:pos="9639"/>
          </w:tabs>
          <w:ind w:left="709" w:firstLine="11"/>
          <w:jc w:val="right"/>
          <w:rPr>
            <w:sz w:val="16"/>
            <w:szCs w:val="18"/>
            <w:lang w:eastAsia="en-US"/>
          </w:rPr>
        </w:pPr>
        <w:r w:rsidRPr="00B87EB5">
          <w:rPr>
            <w:sz w:val="18"/>
            <w:szCs w:val="18"/>
            <w:lang w:eastAsia="en-US"/>
          </w:rPr>
          <w:fldChar w:fldCharType="begin"/>
        </w:r>
        <w:r w:rsidRPr="00B87EB5">
          <w:rPr>
            <w:sz w:val="18"/>
            <w:szCs w:val="18"/>
            <w:lang w:eastAsia="en-US"/>
          </w:rPr>
          <w:instrText xml:space="preserve"> PAGE </w:instrText>
        </w:r>
        <w:r w:rsidRPr="00B87EB5">
          <w:rPr>
            <w:sz w:val="18"/>
            <w:szCs w:val="18"/>
            <w:lang w:eastAsia="en-US"/>
          </w:rPr>
          <w:fldChar w:fldCharType="separate"/>
        </w:r>
        <w:r>
          <w:rPr>
            <w:sz w:val="18"/>
            <w:szCs w:val="18"/>
            <w:lang w:eastAsia="en-US"/>
          </w:rPr>
          <w:t>1</w:t>
        </w:r>
        <w:r w:rsidRPr="00B87EB5">
          <w:rPr>
            <w:sz w:val="18"/>
            <w:szCs w:val="18"/>
            <w:lang w:eastAsia="en-US"/>
          </w:rPr>
          <w:fldChar w:fldCharType="end"/>
        </w:r>
        <w:r w:rsidRPr="00B87EB5">
          <w:rPr>
            <w:sz w:val="18"/>
            <w:szCs w:val="18"/>
            <w:lang w:eastAsia="en-US"/>
          </w:rPr>
          <w:t>/</w:t>
        </w:r>
        <w:r w:rsidRPr="00B87EB5">
          <w:rPr>
            <w:sz w:val="18"/>
            <w:szCs w:val="18"/>
            <w:lang w:eastAsia="en-US"/>
          </w:rPr>
          <w:fldChar w:fldCharType="begin"/>
        </w:r>
        <w:r w:rsidRPr="00B87EB5">
          <w:rPr>
            <w:sz w:val="18"/>
            <w:szCs w:val="18"/>
            <w:lang w:eastAsia="en-US"/>
          </w:rPr>
          <w:instrText xml:space="preserve"> NUMPAGES </w:instrText>
        </w:r>
        <w:r w:rsidRPr="00B87EB5">
          <w:rPr>
            <w:sz w:val="18"/>
            <w:szCs w:val="18"/>
            <w:lang w:eastAsia="en-US"/>
          </w:rPr>
          <w:fldChar w:fldCharType="separate"/>
        </w:r>
        <w:r>
          <w:rPr>
            <w:sz w:val="18"/>
            <w:szCs w:val="18"/>
            <w:lang w:eastAsia="en-US"/>
          </w:rPr>
          <w:t>2</w:t>
        </w:r>
        <w:r w:rsidRPr="00B87EB5">
          <w:rPr>
            <w:sz w:val="18"/>
            <w:szCs w:val="18"/>
            <w:lang w:eastAsia="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430007"/>
      <w:docPartObj>
        <w:docPartGallery w:val="Page Numbers (Bottom of Page)"/>
        <w:docPartUnique/>
      </w:docPartObj>
    </w:sdtPr>
    <w:sdtEndPr>
      <w:rPr>
        <w:noProof/>
        <w:sz w:val="20"/>
      </w:rPr>
    </w:sdtEndPr>
    <w:sdtContent>
      <w:p w14:paraId="3A3D41A2" w14:textId="4A1A625F" w:rsidR="00A52085" w:rsidRPr="00543AD6" w:rsidRDefault="00A52085" w:rsidP="00543AD6">
        <w:pPr>
          <w:tabs>
            <w:tab w:val="right" w:leader="underscore" w:pos="9639"/>
          </w:tabs>
          <w:ind w:left="709" w:firstLine="11"/>
          <w:jc w:val="right"/>
          <w:rPr>
            <w:sz w:val="16"/>
            <w:szCs w:val="18"/>
            <w:lang w:eastAsia="en-US"/>
          </w:rPr>
        </w:pPr>
        <w:r w:rsidRPr="00B87EB5">
          <w:rPr>
            <w:sz w:val="18"/>
            <w:szCs w:val="18"/>
            <w:lang w:eastAsia="en-US"/>
          </w:rPr>
          <w:fldChar w:fldCharType="begin"/>
        </w:r>
        <w:r w:rsidRPr="00B87EB5">
          <w:rPr>
            <w:sz w:val="18"/>
            <w:szCs w:val="18"/>
            <w:lang w:eastAsia="en-US"/>
          </w:rPr>
          <w:instrText xml:space="preserve"> PAGE </w:instrText>
        </w:r>
        <w:r w:rsidRPr="00B87EB5">
          <w:rPr>
            <w:sz w:val="18"/>
            <w:szCs w:val="18"/>
            <w:lang w:eastAsia="en-US"/>
          </w:rPr>
          <w:fldChar w:fldCharType="separate"/>
        </w:r>
        <w:r>
          <w:rPr>
            <w:sz w:val="18"/>
            <w:szCs w:val="18"/>
            <w:lang w:eastAsia="en-US"/>
          </w:rPr>
          <w:t>1</w:t>
        </w:r>
        <w:r w:rsidRPr="00B87EB5">
          <w:rPr>
            <w:sz w:val="18"/>
            <w:szCs w:val="18"/>
            <w:lang w:eastAsia="en-US"/>
          </w:rPr>
          <w:fldChar w:fldCharType="end"/>
        </w:r>
        <w:r w:rsidRPr="00B87EB5">
          <w:rPr>
            <w:sz w:val="18"/>
            <w:szCs w:val="18"/>
            <w:lang w:eastAsia="en-US"/>
          </w:rPr>
          <w:t>/</w:t>
        </w:r>
        <w:r w:rsidRPr="00B87EB5">
          <w:rPr>
            <w:sz w:val="18"/>
            <w:szCs w:val="18"/>
            <w:lang w:eastAsia="en-US"/>
          </w:rPr>
          <w:fldChar w:fldCharType="begin"/>
        </w:r>
        <w:r w:rsidRPr="00B87EB5">
          <w:rPr>
            <w:sz w:val="18"/>
            <w:szCs w:val="18"/>
            <w:lang w:eastAsia="en-US"/>
          </w:rPr>
          <w:instrText xml:space="preserve"> NUMPAGES </w:instrText>
        </w:r>
        <w:r w:rsidRPr="00B87EB5">
          <w:rPr>
            <w:sz w:val="18"/>
            <w:szCs w:val="18"/>
            <w:lang w:eastAsia="en-US"/>
          </w:rPr>
          <w:fldChar w:fldCharType="separate"/>
        </w:r>
        <w:r>
          <w:rPr>
            <w:sz w:val="18"/>
            <w:szCs w:val="18"/>
            <w:lang w:eastAsia="en-US"/>
          </w:rPr>
          <w:t>2</w:t>
        </w:r>
        <w:r w:rsidRPr="00B87EB5">
          <w:rPr>
            <w:sz w:val="18"/>
            <w:szCs w:val="18"/>
            <w:lang w:eastAsia="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129E" w14:textId="77777777" w:rsidR="002D2B82" w:rsidRDefault="002D2B82">
      <w:r>
        <w:separator/>
      </w:r>
    </w:p>
  </w:footnote>
  <w:footnote w:type="continuationSeparator" w:id="0">
    <w:p w14:paraId="3B2DA674" w14:textId="77777777" w:rsidR="002D2B82" w:rsidRDefault="002D2B82">
      <w:r>
        <w:continuationSeparator/>
      </w:r>
    </w:p>
  </w:footnote>
  <w:footnote w:id="1">
    <w:p w14:paraId="42748EDD" w14:textId="77777777" w:rsidR="00413B70" w:rsidRDefault="00413B70" w:rsidP="00146C07">
      <w:pPr>
        <w:pStyle w:val="FootnoteText"/>
        <w:spacing w:line="280" w:lineRule="atLeast"/>
        <w:ind w:left="720" w:hanging="720"/>
      </w:pPr>
      <w:r>
        <w:rPr>
          <w:rStyle w:val="FootnoteReference"/>
        </w:rPr>
        <w:footnoteRef/>
      </w:r>
      <w:r>
        <w:tab/>
        <w:t>Norway is not a member of the European Union. Norway contributes on the basis of equivalent national legislation and EU legislation by which they are bound as member of the European Economic Area (EEA).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566A" w14:textId="77777777" w:rsidR="00B22F9D" w:rsidRDefault="00B22F9D" w:rsidP="001F6AD8">
    <w:pPr>
      <w:pStyle w:val="Header"/>
      <w:jc w:val="right"/>
    </w:pPr>
    <w:r>
      <w:t>North-East Atlantic Environment Strategy progress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0704" w14:textId="444D13E7" w:rsidR="00543AD6" w:rsidRDefault="00543AD6" w:rsidP="00543AD6">
    <w:pPr>
      <w:pStyle w:val="Header"/>
      <w:spacing w:after="0" w:line="240" w:lineRule="auto"/>
      <w:jc w:val="right"/>
      <w:rPr>
        <w:sz w:val="20"/>
        <w:szCs w:val="18"/>
        <w:lang w:eastAsia="en-US"/>
      </w:rPr>
    </w:pPr>
    <w:r>
      <w:rPr>
        <w:sz w:val="20"/>
        <w:szCs w:val="18"/>
        <w:lang w:eastAsia="en-US"/>
      </w:rPr>
      <w:t>2025 Progress Report</w:t>
    </w:r>
  </w:p>
  <w:p w14:paraId="67CF89F9" w14:textId="3938D023" w:rsidR="00543AD6" w:rsidRDefault="00543AD6" w:rsidP="00543AD6">
    <w:pPr>
      <w:pStyle w:val="Header"/>
      <w:jc w:val="right"/>
    </w:pPr>
    <w:r w:rsidRPr="00B87EB5">
      <w:rPr>
        <w:sz w:val="20"/>
        <w:szCs w:val="18"/>
        <w:lang w:eastAsia="en-US"/>
      </w:rPr>
      <w:t>Bonn Agreement</w:t>
    </w:r>
    <w:r>
      <w:rPr>
        <w:sz w:val="20"/>
        <w:szCs w:val="18"/>
        <w:lang w:eastAsia="en-US"/>
      </w:rPr>
      <w:t xml:space="preserve"> </w:t>
    </w:r>
    <w:r w:rsidRPr="00CA17DC">
      <w:rPr>
        <w:sz w:val="20"/>
        <w:szCs w:val="18"/>
        <w:lang w:eastAsia="en-US"/>
      </w:rPr>
      <w:t>Strategic Action Plan 2019-2025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B64A" w14:textId="61845F2A" w:rsidR="00543AD6" w:rsidRDefault="00543AD6" w:rsidP="00543AD6">
    <w:pPr>
      <w:tabs>
        <w:tab w:val="clear" w:pos="357"/>
        <w:tab w:val="left" w:pos="0"/>
      </w:tabs>
      <w:spacing w:after="0" w:line="240" w:lineRule="auto"/>
      <w:rPr>
        <w:sz w:val="20"/>
        <w:szCs w:val="18"/>
        <w:lang w:eastAsia="en-US"/>
      </w:rPr>
    </w:pPr>
    <w:r w:rsidRPr="00543AD6">
      <w:rPr>
        <w:rFonts w:cstheme="minorHAnsi"/>
        <w:sz w:val="20"/>
      </w:rPr>
      <w:t>Annex 1</w:t>
    </w:r>
    <w:r>
      <w:rPr>
        <w:rFonts w:cstheme="minorHAnsi"/>
        <w:sz w:val="20"/>
      </w:rPr>
      <w:t>:</w:t>
    </w:r>
    <w:r w:rsidRPr="00543AD6">
      <w:rPr>
        <w:rFonts w:cstheme="minorHAnsi"/>
        <w:sz w:val="20"/>
      </w:rPr>
      <w:t xml:space="preserve"> Bonn Agreement Strategic Action Plan</w:t>
    </w:r>
    <w:r>
      <w:rPr>
        <w:rFonts w:cstheme="minorHAnsi"/>
        <w:sz w:val="20"/>
      </w:rPr>
      <w:t xml:space="preserve"> 2019-2025</w:t>
    </w:r>
    <w:r>
      <w:rPr>
        <w:rFonts w:cstheme="minorHAnsi"/>
      </w:rPr>
      <w:tab/>
    </w:r>
    <w:r>
      <w:rPr>
        <w:rFonts w:cstheme="minorHAnsi"/>
      </w:rPr>
      <w:tab/>
    </w:r>
    <w:r>
      <w:rPr>
        <w:rFonts w:cstheme="minorHAnsi"/>
      </w:rPr>
      <w:tab/>
    </w:r>
    <w:r>
      <w:rPr>
        <w:rFonts w:cstheme="minorHAnsi"/>
      </w:rPr>
      <w:tab/>
    </w:r>
    <w:r>
      <w:rPr>
        <w:sz w:val="20"/>
        <w:szCs w:val="18"/>
        <w:lang w:eastAsia="en-US"/>
      </w:rPr>
      <w:t>2025 Progress Report</w:t>
    </w:r>
  </w:p>
  <w:p w14:paraId="4B49226D" w14:textId="25CA328D" w:rsidR="00543AD6" w:rsidRDefault="00543AD6" w:rsidP="00543AD6">
    <w:pPr>
      <w:pStyle w:val="Header"/>
      <w:jc w:val="right"/>
    </w:pPr>
    <w:r>
      <w:rPr>
        <w:sz w:val="20"/>
        <w:szCs w:val="18"/>
        <w:lang w:eastAsia="en-US"/>
      </w:rPr>
      <w:t>BASAP</w:t>
    </w:r>
    <w:r w:rsidRPr="00CA17DC">
      <w:rPr>
        <w:sz w:val="20"/>
        <w:szCs w:val="18"/>
        <w:lang w:eastAsia="en-US"/>
      </w:rPr>
      <w:t xml:space="preserve"> 2019-2025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1485" w14:textId="5E16DDB7" w:rsidR="00543AD6" w:rsidRDefault="00543AD6" w:rsidP="00543AD6">
    <w:pPr>
      <w:tabs>
        <w:tab w:val="clear" w:pos="357"/>
        <w:tab w:val="left" w:pos="0"/>
      </w:tabs>
      <w:spacing w:after="0" w:line="240" w:lineRule="auto"/>
      <w:ind w:right="-217"/>
      <w:jc w:val="left"/>
      <w:rPr>
        <w:sz w:val="20"/>
        <w:szCs w:val="18"/>
        <w:lang w:eastAsia="en-US"/>
      </w:rPr>
    </w:pPr>
    <w:r w:rsidRPr="00543AD6">
      <w:rPr>
        <w:rFonts w:cstheme="minorHAnsi"/>
        <w:sz w:val="20"/>
      </w:rPr>
      <w:t xml:space="preserve">Annex </w:t>
    </w:r>
    <w:r>
      <w:rPr>
        <w:rFonts w:cstheme="minorHAnsi"/>
        <w:sz w:val="20"/>
      </w:rPr>
      <w:t>2:</w:t>
    </w:r>
    <w:r w:rsidRPr="00543AD6">
      <w:rPr>
        <w:rFonts w:cstheme="minorHAnsi"/>
        <w:sz w:val="20"/>
      </w:rPr>
      <w:t xml:space="preserve"> </w:t>
    </w:r>
    <w:r>
      <w:rPr>
        <w:rFonts w:cstheme="minorHAnsi"/>
        <w:sz w:val="20"/>
      </w:rPr>
      <w:t>BASAP 2019-2025 Implementation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sz w:val="20"/>
        <w:szCs w:val="18"/>
        <w:lang w:eastAsia="en-US"/>
      </w:rPr>
      <w:t>2025 Progress Report</w:t>
    </w:r>
  </w:p>
  <w:p w14:paraId="7AD7137F" w14:textId="77777777" w:rsidR="00543AD6" w:rsidRDefault="00543AD6" w:rsidP="00543AD6">
    <w:pPr>
      <w:pStyle w:val="Header"/>
      <w:jc w:val="right"/>
    </w:pPr>
    <w:r>
      <w:rPr>
        <w:sz w:val="20"/>
        <w:szCs w:val="18"/>
        <w:lang w:eastAsia="en-US"/>
      </w:rPr>
      <w:t>BASAP</w:t>
    </w:r>
    <w:r w:rsidRPr="00CA17DC">
      <w:rPr>
        <w:sz w:val="20"/>
        <w:szCs w:val="18"/>
        <w:lang w:eastAsia="en-US"/>
      </w:rPr>
      <w:t xml:space="preserve"> 2019-2025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06FE2C"/>
    <w:lvl w:ilvl="0">
      <w:start w:val="1"/>
      <w:numFmt w:val="decimal"/>
      <w:pStyle w:val="ListNumber"/>
      <w:lvlText w:val="%1."/>
      <w:lvlJc w:val="left"/>
      <w:pPr>
        <w:tabs>
          <w:tab w:val="num" w:pos="360"/>
        </w:tabs>
        <w:ind w:left="360" w:hanging="360"/>
      </w:pPr>
      <w:rPr>
        <w:rFonts w:hint="default"/>
        <w:b w:val="0"/>
        <w:i w:val="0"/>
        <w:color w:val="16288E"/>
        <w:sz w:val="20"/>
      </w:rPr>
    </w:lvl>
  </w:abstractNum>
  <w:abstractNum w:abstractNumId="1" w15:restartNumberingAfterBreak="0">
    <w:nsid w:val="FFFFFF89"/>
    <w:multiLevelType w:val="singleLevel"/>
    <w:tmpl w:val="E5DCAF2A"/>
    <w:lvl w:ilvl="0">
      <w:start w:val="1"/>
      <w:numFmt w:val="bullet"/>
      <w:pStyle w:val="ListBullet"/>
      <w:lvlText w:val=""/>
      <w:lvlJc w:val="left"/>
      <w:pPr>
        <w:tabs>
          <w:tab w:val="num" w:pos="360"/>
        </w:tabs>
        <w:ind w:left="357" w:hanging="357"/>
      </w:pPr>
      <w:rPr>
        <w:rFonts w:ascii="Symbol" w:hAnsi="Symbol" w:hint="default"/>
        <w:color w:val="0C2677"/>
      </w:rPr>
    </w:lvl>
  </w:abstractNum>
  <w:abstractNum w:abstractNumId="2" w15:restartNumberingAfterBreak="0">
    <w:nsid w:val="29F677BF"/>
    <w:multiLevelType w:val="hybridMultilevel"/>
    <w:tmpl w:val="553C3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271B1"/>
    <w:multiLevelType w:val="hybridMultilevel"/>
    <w:tmpl w:val="DB7A4FA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56C45C93"/>
    <w:multiLevelType w:val="hybridMultilevel"/>
    <w:tmpl w:val="CD3281D4"/>
    <w:lvl w:ilvl="0" w:tplc="485C80DC">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E35423"/>
    <w:multiLevelType w:val="hybridMultilevel"/>
    <w:tmpl w:val="0750EBF8"/>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start w:val="1"/>
      <w:numFmt w:val="bullet"/>
      <w:lvlText w:val=""/>
      <w:lvlJc w:val="left"/>
      <w:pPr>
        <w:tabs>
          <w:tab w:val="num" w:pos="2700"/>
        </w:tabs>
        <w:ind w:left="2700" w:hanging="360"/>
      </w:pPr>
      <w:rPr>
        <w:rFonts w:ascii="Wingdings" w:hAnsi="Wingdings" w:hint="default"/>
      </w:rPr>
    </w:lvl>
    <w:lvl w:ilvl="3" w:tplc="08090001">
      <w:start w:val="1"/>
      <w:numFmt w:val="bullet"/>
      <w:lvlText w:val=""/>
      <w:lvlJc w:val="left"/>
      <w:pPr>
        <w:tabs>
          <w:tab w:val="num" w:pos="3420"/>
        </w:tabs>
        <w:ind w:left="3420" w:hanging="360"/>
      </w:pPr>
      <w:rPr>
        <w:rFonts w:ascii="Symbol" w:hAnsi="Symbol" w:hint="default"/>
      </w:rPr>
    </w:lvl>
    <w:lvl w:ilvl="4" w:tplc="08090003">
      <w:start w:val="1"/>
      <w:numFmt w:val="bullet"/>
      <w:lvlText w:val="o"/>
      <w:lvlJc w:val="left"/>
      <w:pPr>
        <w:tabs>
          <w:tab w:val="num" w:pos="4140"/>
        </w:tabs>
        <w:ind w:left="4140" w:hanging="360"/>
      </w:pPr>
      <w:rPr>
        <w:rFonts w:ascii="Courier New" w:hAnsi="Courier New" w:cs="Courier New" w:hint="default"/>
      </w:rPr>
    </w:lvl>
    <w:lvl w:ilvl="5" w:tplc="08090005">
      <w:start w:val="1"/>
      <w:numFmt w:val="bullet"/>
      <w:lvlText w:val=""/>
      <w:lvlJc w:val="left"/>
      <w:pPr>
        <w:tabs>
          <w:tab w:val="num" w:pos="4860"/>
        </w:tabs>
        <w:ind w:left="4860" w:hanging="360"/>
      </w:pPr>
      <w:rPr>
        <w:rFonts w:ascii="Wingdings" w:hAnsi="Wingdings" w:hint="default"/>
      </w:rPr>
    </w:lvl>
    <w:lvl w:ilvl="6" w:tplc="08090001">
      <w:start w:val="1"/>
      <w:numFmt w:val="bullet"/>
      <w:lvlText w:val=""/>
      <w:lvlJc w:val="left"/>
      <w:pPr>
        <w:tabs>
          <w:tab w:val="num" w:pos="5580"/>
        </w:tabs>
        <w:ind w:left="5580" w:hanging="360"/>
      </w:pPr>
      <w:rPr>
        <w:rFonts w:ascii="Symbol" w:hAnsi="Symbol" w:hint="default"/>
      </w:rPr>
    </w:lvl>
    <w:lvl w:ilvl="7" w:tplc="08090003">
      <w:start w:val="1"/>
      <w:numFmt w:val="bullet"/>
      <w:lvlText w:val="o"/>
      <w:lvlJc w:val="left"/>
      <w:pPr>
        <w:tabs>
          <w:tab w:val="num" w:pos="6300"/>
        </w:tabs>
        <w:ind w:left="6300" w:hanging="360"/>
      </w:pPr>
      <w:rPr>
        <w:rFonts w:ascii="Courier New" w:hAnsi="Courier New" w:cs="Courier New" w:hint="default"/>
      </w:rPr>
    </w:lvl>
    <w:lvl w:ilvl="8" w:tplc="08090005">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656A5D58"/>
    <w:multiLevelType w:val="hybridMultilevel"/>
    <w:tmpl w:val="7FE4C8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7474535B"/>
    <w:multiLevelType w:val="hybridMultilevel"/>
    <w:tmpl w:val="FF06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062D5E"/>
    <w:multiLevelType w:val="hybridMultilevel"/>
    <w:tmpl w:val="4626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789053">
    <w:abstractNumId w:val="1"/>
  </w:num>
  <w:num w:numId="2" w16cid:durableId="2119640720">
    <w:abstractNumId w:val="0"/>
  </w:num>
  <w:num w:numId="3" w16cid:durableId="1642730075">
    <w:abstractNumId w:val="4"/>
  </w:num>
  <w:num w:numId="4" w16cid:durableId="1543127347">
    <w:abstractNumId w:val="8"/>
  </w:num>
  <w:num w:numId="5" w16cid:durableId="83457107">
    <w:abstractNumId w:val="6"/>
  </w:num>
  <w:num w:numId="6" w16cid:durableId="1746997345">
    <w:abstractNumId w:val="7"/>
  </w:num>
  <w:num w:numId="7" w16cid:durableId="2008748131">
    <w:abstractNumId w:val="5"/>
  </w:num>
  <w:num w:numId="8" w16cid:durableId="455024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626166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E3"/>
    <w:rsid w:val="00002132"/>
    <w:rsid w:val="00005117"/>
    <w:rsid w:val="00010E5C"/>
    <w:rsid w:val="000119CB"/>
    <w:rsid w:val="00012CB7"/>
    <w:rsid w:val="00016CF6"/>
    <w:rsid w:val="000173CD"/>
    <w:rsid w:val="00020440"/>
    <w:rsid w:val="00021E27"/>
    <w:rsid w:val="00025156"/>
    <w:rsid w:val="000265DF"/>
    <w:rsid w:val="00027C4F"/>
    <w:rsid w:val="00030F03"/>
    <w:rsid w:val="00030FF2"/>
    <w:rsid w:val="000326B5"/>
    <w:rsid w:val="0003395B"/>
    <w:rsid w:val="00037821"/>
    <w:rsid w:val="00040D40"/>
    <w:rsid w:val="00043918"/>
    <w:rsid w:val="00046DA6"/>
    <w:rsid w:val="0004711B"/>
    <w:rsid w:val="00054EB9"/>
    <w:rsid w:val="000555E1"/>
    <w:rsid w:val="00055778"/>
    <w:rsid w:val="00056BDD"/>
    <w:rsid w:val="00056E53"/>
    <w:rsid w:val="0006158C"/>
    <w:rsid w:val="00065732"/>
    <w:rsid w:val="00070C11"/>
    <w:rsid w:val="00075B90"/>
    <w:rsid w:val="00076579"/>
    <w:rsid w:val="00077D41"/>
    <w:rsid w:val="00080522"/>
    <w:rsid w:val="00083648"/>
    <w:rsid w:val="00092B17"/>
    <w:rsid w:val="000964F5"/>
    <w:rsid w:val="000A1CA5"/>
    <w:rsid w:val="000A261C"/>
    <w:rsid w:val="000A77CA"/>
    <w:rsid w:val="000B20C7"/>
    <w:rsid w:val="000B356A"/>
    <w:rsid w:val="000B3FAB"/>
    <w:rsid w:val="000C36ED"/>
    <w:rsid w:val="000C6CD5"/>
    <w:rsid w:val="000D07A7"/>
    <w:rsid w:val="000D1174"/>
    <w:rsid w:val="000D5181"/>
    <w:rsid w:val="000D6EF4"/>
    <w:rsid w:val="000D7749"/>
    <w:rsid w:val="000D79D6"/>
    <w:rsid w:val="000E03EF"/>
    <w:rsid w:val="000E1960"/>
    <w:rsid w:val="000E33FD"/>
    <w:rsid w:val="000E7E57"/>
    <w:rsid w:val="000F0746"/>
    <w:rsid w:val="000F2DF8"/>
    <w:rsid w:val="000F3CC2"/>
    <w:rsid w:val="000F7366"/>
    <w:rsid w:val="0010784F"/>
    <w:rsid w:val="0011030E"/>
    <w:rsid w:val="001262AA"/>
    <w:rsid w:val="0013263E"/>
    <w:rsid w:val="00133356"/>
    <w:rsid w:val="00135254"/>
    <w:rsid w:val="00135270"/>
    <w:rsid w:val="00146C07"/>
    <w:rsid w:val="00151737"/>
    <w:rsid w:val="0015246F"/>
    <w:rsid w:val="00152D6F"/>
    <w:rsid w:val="001543CE"/>
    <w:rsid w:val="00166348"/>
    <w:rsid w:val="001669D6"/>
    <w:rsid w:val="00171211"/>
    <w:rsid w:val="0018032E"/>
    <w:rsid w:val="001809CA"/>
    <w:rsid w:val="00192835"/>
    <w:rsid w:val="001932D9"/>
    <w:rsid w:val="0019678C"/>
    <w:rsid w:val="00196FAA"/>
    <w:rsid w:val="001A034B"/>
    <w:rsid w:val="001A1A2D"/>
    <w:rsid w:val="001A6CB6"/>
    <w:rsid w:val="001A6FF5"/>
    <w:rsid w:val="001B0018"/>
    <w:rsid w:val="001B0119"/>
    <w:rsid w:val="001B1A70"/>
    <w:rsid w:val="001B1CC4"/>
    <w:rsid w:val="001B2775"/>
    <w:rsid w:val="001B3C6D"/>
    <w:rsid w:val="001C4BBB"/>
    <w:rsid w:val="001C4C16"/>
    <w:rsid w:val="001C4DDE"/>
    <w:rsid w:val="001C5055"/>
    <w:rsid w:val="001C558D"/>
    <w:rsid w:val="001D027F"/>
    <w:rsid w:val="001D4F5A"/>
    <w:rsid w:val="001D6AE2"/>
    <w:rsid w:val="001E3468"/>
    <w:rsid w:val="001F4771"/>
    <w:rsid w:val="001F6BCE"/>
    <w:rsid w:val="00202D39"/>
    <w:rsid w:val="00207DED"/>
    <w:rsid w:val="002165F4"/>
    <w:rsid w:val="00222087"/>
    <w:rsid w:val="002235B2"/>
    <w:rsid w:val="002246DF"/>
    <w:rsid w:val="00243536"/>
    <w:rsid w:val="0024554A"/>
    <w:rsid w:val="00245B19"/>
    <w:rsid w:val="0024782D"/>
    <w:rsid w:val="002528CE"/>
    <w:rsid w:val="002549DB"/>
    <w:rsid w:val="002558F3"/>
    <w:rsid w:val="00257B84"/>
    <w:rsid w:val="0026108B"/>
    <w:rsid w:val="00262B78"/>
    <w:rsid w:val="002678C7"/>
    <w:rsid w:val="00270F73"/>
    <w:rsid w:val="00273A1B"/>
    <w:rsid w:val="00273DFA"/>
    <w:rsid w:val="0027489F"/>
    <w:rsid w:val="00275C21"/>
    <w:rsid w:val="00282968"/>
    <w:rsid w:val="0028316A"/>
    <w:rsid w:val="00287750"/>
    <w:rsid w:val="00287CED"/>
    <w:rsid w:val="00292504"/>
    <w:rsid w:val="0029313D"/>
    <w:rsid w:val="002941B2"/>
    <w:rsid w:val="002A3B3E"/>
    <w:rsid w:val="002A6116"/>
    <w:rsid w:val="002A7560"/>
    <w:rsid w:val="002B154E"/>
    <w:rsid w:val="002B26A0"/>
    <w:rsid w:val="002B30A7"/>
    <w:rsid w:val="002B780F"/>
    <w:rsid w:val="002C424F"/>
    <w:rsid w:val="002C63C7"/>
    <w:rsid w:val="002D03FA"/>
    <w:rsid w:val="002D049B"/>
    <w:rsid w:val="002D22A5"/>
    <w:rsid w:val="002D2AB4"/>
    <w:rsid w:val="002D2B82"/>
    <w:rsid w:val="002D3EB3"/>
    <w:rsid w:val="002D5DE8"/>
    <w:rsid w:val="002D678A"/>
    <w:rsid w:val="002E19D8"/>
    <w:rsid w:val="002E3EC1"/>
    <w:rsid w:val="002F219A"/>
    <w:rsid w:val="002F6A15"/>
    <w:rsid w:val="00300760"/>
    <w:rsid w:val="00310150"/>
    <w:rsid w:val="00310CE6"/>
    <w:rsid w:val="0031232E"/>
    <w:rsid w:val="00312FC1"/>
    <w:rsid w:val="003143EC"/>
    <w:rsid w:val="0031594E"/>
    <w:rsid w:val="00315B7E"/>
    <w:rsid w:val="00321196"/>
    <w:rsid w:val="00323E2B"/>
    <w:rsid w:val="0032540E"/>
    <w:rsid w:val="00326C99"/>
    <w:rsid w:val="00330FBC"/>
    <w:rsid w:val="00331038"/>
    <w:rsid w:val="00332C4C"/>
    <w:rsid w:val="003331D6"/>
    <w:rsid w:val="00333F23"/>
    <w:rsid w:val="003349CB"/>
    <w:rsid w:val="00340741"/>
    <w:rsid w:val="00346763"/>
    <w:rsid w:val="00347791"/>
    <w:rsid w:val="00347958"/>
    <w:rsid w:val="0035505B"/>
    <w:rsid w:val="00360549"/>
    <w:rsid w:val="00365FCA"/>
    <w:rsid w:val="0036644B"/>
    <w:rsid w:val="00367929"/>
    <w:rsid w:val="00370773"/>
    <w:rsid w:val="0037707C"/>
    <w:rsid w:val="003774AB"/>
    <w:rsid w:val="00387B7D"/>
    <w:rsid w:val="00390A6C"/>
    <w:rsid w:val="00391B78"/>
    <w:rsid w:val="00393816"/>
    <w:rsid w:val="00394949"/>
    <w:rsid w:val="003A25FA"/>
    <w:rsid w:val="003A5F93"/>
    <w:rsid w:val="003A7226"/>
    <w:rsid w:val="003A789A"/>
    <w:rsid w:val="003B570D"/>
    <w:rsid w:val="003B5D0D"/>
    <w:rsid w:val="003B6A09"/>
    <w:rsid w:val="003C352F"/>
    <w:rsid w:val="003C3FCC"/>
    <w:rsid w:val="003C4C4C"/>
    <w:rsid w:val="003C57C1"/>
    <w:rsid w:val="003C59A5"/>
    <w:rsid w:val="003C7736"/>
    <w:rsid w:val="003D1515"/>
    <w:rsid w:val="003D464D"/>
    <w:rsid w:val="003D7B1B"/>
    <w:rsid w:val="003E3C8D"/>
    <w:rsid w:val="003E7E73"/>
    <w:rsid w:val="003F3CD2"/>
    <w:rsid w:val="003F7333"/>
    <w:rsid w:val="004047BC"/>
    <w:rsid w:val="004052B4"/>
    <w:rsid w:val="00413B70"/>
    <w:rsid w:val="00425D0C"/>
    <w:rsid w:val="00430E68"/>
    <w:rsid w:val="004310C1"/>
    <w:rsid w:val="004325C6"/>
    <w:rsid w:val="00433AD7"/>
    <w:rsid w:val="004378B9"/>
    <w:rsid w:val="004413A8"/>
    <w:rsid w:val="00441896"/>
    <w:rsid w:val="00444C33"/>
    <w:rsid w:val="004471EF"/>
    <w:rsid w:val="00450B1A"/>
    <w:rsid w:val="00450F3B"/>
    <w:rsid w:val="00450FD8"/>
    <w:rsid w:val="0045166A"/>
    <w:rsid w:val="004541FE"/>
    <w:rsid w:val="00454A4E"/>
    <w:rsid w:val="004674EC"/>
    <w:rsid w:val="00467860"/>
    <w:rsid w:val="00476206"/>
    <w:rsid w:val="00480986"/>
    <w:rsid w:val="00481716"/>
    <w:rsid w:val="0048707C"/>
    <w:rsid w:val="00491FB8"/>
    <w:rsid w:val="00496AEA"/>
    <w:rsid w:val="00497BFA"/>
    <w:rsid w:val="004A081A"/>
    <w:rsid w:val="004A52D2"/>
    <w:rsid w:val="004A743E"/>
    <w:rsid w:val="004B1AC8"/>
    <w:rsid w:val="004C086B"/>
    <w:rsid w:val="004C09AE"/>
    <w:rsid w:val="004C20F8"/>
    <w:rsid w:val="004C210B"/>
    <w:rsid w:val="004C3F30"/>
    <w:rsid w:val="004C799E"/>
    <w:rsid w:val="004D36FA"/>
    <w:rsid w:val="004D7F80"/>
    <w:rsid w:val="004E314B"/>
    <w:rsid w:val="004E42CE"/>
    <w:rsid w:val="004E6083"/>
    <w:rsid w:val="004F787B"/>
    <w:rsid w:val="00500197"/>
    <w:rsid w:val="0050090E"/>
    <w:rsid w:val="0050320B"/>
    <w:rsid w:val="005140E3"/>
    <w:rsid w:val="00532B9E"/>
    <w:rsid w:val="00533B3C"/>
    <w:rsid w:val="00534156"/>
    <w:rsid w:val="00536D96"/>
    <w:rsid w:val="00537257"/>
    <w:rsid w:val="005374DD"/>
    <w:rsid w:val="00540B21"/>
    <w:rsid w:val="00543AD6"/>
    <w:rsid w:val="00545A65"/>
    <w:rsid w:val="00546B7C"/>
    <w:rsid w:val="00552D95"/>
    <w:rsid w:val="0055594F"/>
    <w:rsid w:val="0055626D"/>
    <w:rsid w:val="00561CDE"/>
    <w:rsid w:val="00561D64"/>
    <w:rsid w:val="0056313C"/>
    <w:rsid w:val="005647F8"/>
    <w:rsid w:val="00564DC0"/>
    <w:rsid w:val="00571EF6"/>
    <w:rsid w:val="00574701"/>
    <w:rsid w:val="005763A3"/>
    <w:rsid w:val="0058188E"/>
    <w:rsid w:val="005845EF"/>
    <w:rsid w:val="0058475D"/>
    <w:rsid w:val="0058625B"/>
    <w:rsid w:val="005863E5"/>
    <w:rsid w:val="005905E2"/>
    <w:rsid w:val="00593058"/>
    <w:rsid w:val="00593067"/>
    <w:rsid w:val="005946F9"/>
    <w:rsid w:val="005A07E5"/>
    <w:rsid w:val="005A1EE9"/>
    <w:rsid w:val="005A21F5"/>
    <w:rsid w:val="005A393B"/>
    <w:rsid w:val="005A6F52"/>
    <w:rsid w:val="005A763E"/>
    <w:rsid w:val="005B1082"/>
    <w:rsid w:val="005B1548"/>
    <w:rsid w:val="005B3DA9"/>
    <w:rsid w:val="005B4396"/>
    <w:rsid w:val="005B7893"/>
    <w:rsid w:val="005D0BD3"/>
    <w:rsid w:val="005D1228"/>
    <w:rsid w:val="005D2125"/>
    <w:rsid w:val="005D3F4C"/>
    <w:rsid w:val="005E34F2"/>
    <w:rsid w:val="005E3D39"/>
    <w:rsid w:val="005E43D7"/>
    <w:rsid w:val="005F6B45"/>
    <w:rsid w:val="00605E0F"/>
    <w:rsid w:val="00605F2B"/>
    <w:rsid w:val="006069DD"/>
    <w:rsid w:val="00610996"/>
    <w:rsid w:val="00612D23"/>
    <w:rsid w:val="00613232"/>
    <w:rsid w:val="00614EAE"/>
    <w:rsid w:val="0061557A"/>
    <w:rsid w:val="006160EF"/>
    <w:rsid w:val="00617D5C"/>
    <w:rsid w:val="006206C0"/>
    <w:rsid w:val="00620DDF"/>
    <w:rsid w:val="006336DC"/>
    <w:rsid w:val="00636BA1"/>
    <w:rsid w:val="006375CF"/>
    <w:rsid w:val="0064236A"/>
    <w:rsid w:val="00643DD2"/>
    <w:rsid w:val="00645BCA"/>
    <w:rsid w:val="006556E9"/>
    <w:rsid w:val="00655F13"/>
    <w:rsid w:val="0066058E"/>
    <w:rsid w:val="00663FBB"/>
    <w:rsid w:val="006662B0"/>
    <w:rsid w:val="00666800"/>
    <w:rsid w:val="00666C62"/>
    <w:rsid w:val="006676C5"/>
    <w:rsid w:val="00670315"/>
    <w:rsid w:val="00673540"/>
    <w:rsid w:val="006760BE"/>
    <w:rsid w:val="006803A7"/>
    <w:rsid w:val="00681ADE"/>
    <w:rsid w:val="00685404"/>
    <w:rsid w:val="00691173"/>
    <w:rsid w:val="006A1517"/>
    <w:rsid w:val="006A3689"/>
    <w:rsid w:val="006A4CE9"/>
    <w:rsid w:val="006A7E57"/>
    <w:rsid w:val="006B41AE"/>
    <w:rsid w:val="006C11FF"/>
    <w:rsid w:val="006D3E69"/>
    <w:rsid w:val="006D5B35"/>
    <w:rsid w:val="006D704A"/>
    <w:rsid w:val="006D7FB9"/>
    <w:rsid w:val="006E43F2"/>
    <w:rsid w:val="006E5E3A"/>
    <w:rsid w:val="006F00B5"/>
    <w:rsid w:val="006F1099"/>
    <w:rsid w:val="006F1EF4"/>
    <w:rsid w:val="006F3261"/>
    <w:rsid w:val="006F4D8D"/>
    <w:rsid w:val="006F4DE9"/>
    <w:rsid w:val="006F757E"/>
    <w:rsid w:val="007001CA"/>
    <w:rsid w:val="00701D95"/>
    <w:rsid w:val="00704E2B"/>
    <w:rsid w:val="007067FF"/>
    <w:rsid w:val="00712FD6"/>
    <w:rsid w:val="007150FE"/>
    <w:rsid w:val="007226A0"/>
    <w:rsid w:val="00732056"/>
    <w:rsid w:val="00733341"/>
    <w:rsid w:val="00740BA1"/>
    <w:rsid w:val="00742BE9"/>
    <w:rsid w:val="00743B07"/>
    <w:rsid w:val="007449F5"/>
    <w:rsid w:val="0075299A"/>
    <w:rsid w:val="00753490"/>
    <w:rsid w:val="00757DED"/>
    <w:rsid w:val="00764616"/>
    <w:rsid w:val="00766FB6"/>
    <w:rsid w:val="007725A2"/>
    <w:rsid w:val="0077442B"/>
    <w:rsid w:val="007826CE"/>
    <w:rsid w:val="00782D8D"/>
    <w:rsid w:val="00783A26"/>
    <w:rsid w:val="007866B9"/>
    <w:rsid w:val="007874A3"/>
    <w:rsid w:val="007907F4"/>
    <w:rsid w:val="00791E3A"/>
    <w:rsid w:val="007955E1"/>
    <w:rsid w:val="007A0D31"/>
    <w:rsid w:val="007A1727"/>
    <w:rsid w:val="007A300A"/>
    <w:rsid w:val="007A3945"/>
    <w:rsid w:val="007A60E1"/>
    <w:rsid w:val="007B48C4"/>
    <w:rsid w:val="007B6A42"/>
    <w:rsid w:val="007C1017"/>
    <w:rsid w:val="007C1962"/>
    <w:rsid w:val="007C1EAA"/>
    <w:rsid w:val="007C6B10"/>
    <w:rsid w:val="007D18B5"/>
    <w:rsid w:val="007D4FC1"/>
    <w:rsid w:val="007D555A"/>
    <w:rsid w:val="007E590E"/>
    <w:rsid w:val="007E64BC"/>
    <w:rsid w:val="007F712B"/>
    <w:rsid w:val="00803377"/>
    <w:rsid w:val="00804813"/>
    <w:rsid w:val="008059C3"/>
    <w:rsid w:val="00814244"/>
    <w:rsid w:val="00815AC2"/>
    <w:rsid w:val="0082108E"/>
    <w:rsid w:val="008237F2"/>
    <w:rsid w:val="00832C33"/>
    <w:rsid w:val="00836062"/>
    <w:rsid w:val="00840D7E"/>
    <w:rsid w:val="008641E5"/>
    <w:rsid w:val="00864BB9"/>
    <w:rsid w:val="00866060"/>
    <w:rsid w:val="008661D4"/>
    <w:rsid w:val="00867941"/>
    <w:rsid w:val="0087032D"/>
    <w:rsid w:val="0087114D"/>
    <w:rsid w:val="008940EA"/>
    <w:rsid w:val="008A085B"/>
    <w:rsid w:val="008A11CB"/>
    <w:rsid w:val="008A184F"/>
    <w:rsid w:val="008A2DBB"/>
    <w:rsid w:val="008B0FB9"/>
    <w:rsid w:val="008B44A2"/>
    <w:rsid w:val="008B4B8D"/>
    <w:rsid w:val="008C5DBE"/>
    <w:rsid w:val="008C7D70"/>
    <w:rsid w:val="008D27A5"/>
    <w:rsid w:val="008D4943"/>
    <w:rsid w:val="008D4A0C"/>
    <w:rsid w:val="008D565F"/>
    <w:rsid w:val="008D6A2C"/>
    <w:rsid w:val="008D7F9A"/>
    <w:rsid w:val="008E3F08"/>
    <w:rsid w:val="008E617C"/>
    <w:rsid w:val="008E67DB"/>
    <w:rsid w:val="008F006E"/>
    <w:rsid w:val="008F0433"/>
    <w:rsid w:val="008F2198"/>
    <w:rsid w:val="008F4DE6"/>
    <w:rsid w:val="008F6FFC"/>
    <w:rsid w:val="0091438C"/>
    <w:rsid w:val="00920F84"/>
    <w:rsid w:val="00925345"/>
    <w:rsid w:val="00927641"/>
    <w:rsid w:val="009330FC"/>
    <w:rsid w:val="00935E4F"/>
    <w:rsid w:val="00947568"/>
    <w:rsid w:val="00951BE4"/>
    <w:rsid w:val="00951E13"/>
    <w:rsid w:val="00957302"/>
    <w:rsid w:val="00957808"/>
    <w:rsid w:val="00960EB5"/>
    <w:rsid w:val="00971F39"/>
    <w:rsid w:val="009730CF"/>
    <w:rsid w:val="00974A0A"/>
    <w:rsid w:val="00977608"/>
    <w:rsid w:val="00981BF0"/>
    <w:rsid w:val="009827CC"/>
    <w:rsid w:val="00984F48"/>
    <w:rsid w:val="0099151F"/>
    <w:rsid w:val="00993D9F"/>
    <w:rsid w:val="0099465A"/>
    <w:rsid w:val="009949E4"/>
    <w:rsid w:val="00997E34"/>
    <w:rsid w:val="009A047A"/>
    <w:rsid w:val="009A14F1"/>
    <w:rsid w:val="009A29D8"/>
    <w:rsid w:val="009A781A"/>
    <w:rsid w:val="009B016D"/>
    <w:rsid w:val="009B01BE"/>
    <w:rsid w:val="009B2B7F"/>
    <w:rsid w:val="009B5D2D"/>
    <w:rsid w:val="009B6B64"/>
    <w:rsid w:val="009C29ED"/>
    <w:rsid w:val="009C4E6F"/>
    <w:rsid w:val="009D0CB4"/>
    <w:rsid w:val="009D36ED"/>
    <w:rsid w:val="009D4309"/>
    <w:rsid w:val="009D5463"/>
    <w:rsid w:val="009D6810"/>
    <w:rsid w:val="009E5970"/>
    <w:rsid w:val="009E763E"/>
    <w:rsid w:val="009F008A"/>
    <w:rsid w:val="009F0CB8"/>
    <w:rsid w:val="009F34A0"/>
    <w:rsid w:val="009F4238"/>
    <w:rsid w:val="009F7AFB"/>
    <w:rsid w:val="009F7B7A"/>
    <w:rsid w:val="00A05FF9"/>
    <w:rsid w:val="00A07423"/>
    <w:rsid w:val="00A15812"/>
    <w:rsid w:val="00A22441"/>
    <w:rsid w:val="00A22523"/>
    <w:rsid w:val="00A32B08"/>
    <w:rsid w:val="00A33B77"/>
    <w:rsid w:val="00A34273"/>
    <w:rsid w:val="00A36BAE"/>
    <w:rsid w:val="00A3748F"/>
    <w:rsid w:val="00A41AE0"/>
    <w:rsid w:val="00A43ABF"/>
    <w:rsid w:val="00A51C7F"/>
    <w:rsid w:val="00A52085"/>
    <w:rsid w:val="00A52A8E"/>
    <w:rsid w:val="00A5427D"/>
    <w:rsid w:val="00A6396D"/>
    <w:rsid w:val="00A63A03"/>
    <w:rsid w:val="00A65DAD"/>
    <w:rsid w:val="00A7105E"/>
    <w:rsid w:val="00A731FB"/>
    <w:rsid w:val="00A814E4"/>
    <w:rsid w:val="00A82608"/>
    <w:rsid w:val="00A83304"/>
    <w:rsid w:val="00A94CFE"/>
    <w:rsid w:val="00A95904"/>
    <w:rsid w:val="00A96CA9"/>
    <w:rsid w:val="00AC162B"/>
    <w:rsid w:val="00AC2FB6"/>
    <w:rsid w:val="00AC3C4C"/>
    <w:rsid w:val="00AC6A7A"/>
    <w:rsid w:val="00AC6F17"/>
    <w:rsid w:val="00AC7E52"/>
    <w:rsid w:val="00AD5B57"/>
    <w:rsid w:val="00AE59D1"/>
    <w:rsid w:val="00AE5A79"/>
    <w:rsid w:val="00AF0B4E"/>
    <w:rsid w:val="00AF12CF"/>
    <w:rsid w:val="00AF2D15"/>
    <w:rsid w:val="00AF31E3"/>
    <w:rsid w:val="00AF422C"/>
    <w:rsid w:val="00AF6DCB"/>
    <w:rsid w:val="00AF7969"/>
    <w:rsid w:val="00AF7D76"/>
    <w:rsid w:val="00B04B66"/>
    <w:rsid w:val="00B104B4"/>
    <w:rsid w:val="00B12FE3"/>
    <w:rsid w:val="00B151B5"/>
    <w:rsid w:val="00B157FC"/>
    <w:rsid w:val="00B16C4D"/>
    <w:rsid w:val="00B22F9D"/>
    <w:rsid w:val="00B27F97"/>
    <w:rsid w:val="00B3046A"/>
    <w:rsid w:val="00B30D59"/>
    <w:rsid w:val="00B31038"/>
    <w:rsid w:val="00B33896"/>
    <w:rsid w:val="00B3782B"/>
    <w:rsid w:val="00B43F57"/>
    <w:rsid w:val="00B46543"/>
    <w:rsid w:val="00B4749A"/>
    <w:rsid w:val="00B5033A"/>
    <w:rsid w:val="00B550BC"/>
    <w:rsid w:val="00B621B0"/>
    <w:rsid w:val="00B635B3"/>
    <w:rsid w:val="00B65239"/>
    <w:rsid w:val="00B65A76"/>
    <w:rsid w:val="00B730C1"/>
    <w:rsid w:val="00B7437F"/>
    <w:rsid w:val="00B743E6"/>
    <w:rsid w:val="00B767F8"/>
    <w:rsid w:val="00B77EB8"/>
    <w:rsid w:val="00B80BA9"/>
    <w:rsid w:val="00B847E5"/>
    <w:rsid w:val="00B871EC"/>
    <w:rsid w:val="00B90383"/>
    <w:rsid w:val="00B908DD"/>
    <w:rsid w:val="00B9604B"/>
    <w:rsid w:val="00B97B07"/>
    <w:rsid w:val="00BA071A"/>
    <w:rsid w:val="00BA1C14"/>
    <w:rsid w:val="00BB1BA6"/>
    <w:rsid w:val="00BB2F36"/>
    <w:rsid w:val="00BB3C1B"/>
    <w:rsid w:val="00BC0387"/>
    <w:rsid w:val="00BC5D39"/>
    <w:rsid w:val="00BD453B"/>
    <w:rsid w:val="00BD75BD"/>
    <w:rsid w:val="00BD7B66"/>
    <w:rsid w:val="00BE07C6"/>
    <w:rsid w:val="00BE2536"/>
    <w:rsid w:val="00BE5A17"/>
    <w:rsid w:val="00BE65A7"/>
    <w:rsid w:val="00BF6B9E"/>
    <w:rsid w:val="00C03CB5"/>
    <w:rsid w:val="00C060D3"/>
    <w:rsid w:val="00C142DF"/>
    <w:rsid w:val="00C17D91"/>
    <w:rsid w:val="00C220B3"/>
    <w:rsid w:val="00C25F8D"/>
    <w:rsid w:val="00C260C7"/>
    <w:rsid w:val="00C3419E"/>
    <w:rsid w:val="00C41B64"/>
    <w:rsid w:val="00C448FF"/>
    <w:rsid w:val="00C457A0"/>
    <w:rsid w:val="00C51A22"/>
    <w:rsid w:val="00C52568"/>
    <w:rsid w:val="00C60F0F"/>
    <w:rsid w:val="00C62DD3"/>
    <w:rsid w:val="00C64F1D"/>
    <w:rsid w:val="00C65F75"/>
    <w:rsid w:val="00C6757A"/>
    <w:rsid w:val="00C76E68"/>
    <w:rsid w:val="00C96883"/>
    <w:rsid w:val="00CA17DC"/>
    <w:rsid w:val="00CA429C"/>
    <w:rsid w:val="00CA74B1"/>
    <w:rsid w:val="00CB0819"/>
    <w:rsid w:val="00CB480E"/>
    <w:rsid w:val="00CC238E"/>
    <w:rsid w:val="00CC3504"/>
    <w:rsid w:val="00CD1BA4"/>
    <w:rsid w:val="00CD3D50"/>
    <w:rsid w:val="00CD4228"/>
    <w:rsid w:val="00CD4B02"/>
    <w:rsid w:val="00CE073E"/>
    <w:rsid w:val="00CE1284"/>
    <w:rsid w:val="00CE304B"/>
    <w:rsid w:val="00CE4D93"/>
    <w:rsid w:val="00CE505F"/>
    <w:rsid w:val="00CF5000"/>
    <w:rsid w:val="00CF722C"/>
    <w:rsid w:val="00D00A73"/>
    <w:rsid w:val="00D00C12"/>
    <w:rsid w:val="00D0666B"/>
    <w:rsid w:val="00D07484"/>
    <w:rsid w:val="00D102D3"/>
    <w:rsid w:val="00D15E7C"/>
    <w:rsid w:val="00D20EBE"/>
    <w:rsid w:val="00D24EFF"/>
    <w:rsid w:val="00D26B9B"/>
    <w:rsid w:val="00D279A9"/>
    <w:rsid w:val="00D33063"/>
    <w:rsid w:val="00D33AC8"/>
    <w:rsid w:val="00D33DF4"/>
    <w:rsid w:val="00D349E0"/>
    <w:rsid w:val="00D35A94"/>
    <w:rsid w:val="00D371A5"/>
    <w:rsid w:val="00D37A8C"/>
    <w:rsid w:val="00D4234F"/>
    <w:rsid w:val="00D4438D"/>
    <w:rsid w:val="00D545AA"/>
    <w:rsid w:val="00D54807"/>
    <w:rsid w:val="00D548B8"/>
    <w:rsid w:val="00D56723"/>
    <w:rsid w:val="00D615D4"/>
    <w:rsid w:val="00D620E5"/>
    <w:rsid w:val="00D628AF"/>
    <w:rsid w:val="00D65D87"/>
    <w:rsid w:val="00D71FF6"/>
    <w:rsid w:val="00D82828"/>
    <w:rsid w:val="00D8525F"/>
    <w:rsid w:val="00D87535"/>
    <w:rsid w:val="00D92F8D"/>
    <w:rsid w:val="00D949C0"/>
    <w:rsid w:val="00DA2F39"/>
    <w:rsid w:val="00DA4B7C"/>
    <w:rsid w:val="00DB2787"/>
    <w:rsid w:val="00DB284C"/>
    <w:rsid w:val="00DB4C82"/>
    <w:rsid w:val="00DB5B46"/>
    <w:rsid w:val="00DB5C12"/>
    <w:rsid w:val="00DB6094"/>
    <w:rsid w:val="00DB6D75"/>
    <w:rsid w:val="00DC1373"/>
    <w:rsid w:val="00DC5E08"/>
    <w:rsid w:val="00DD13DC"/>
    <w:rsid w:val="00DD18D2"/>
    <w:rsid w:val="00DD2143"/>
    <w:rsid w:val="00DD2442"/>
    <w:rsid w:val="00DD2743"/>
    <w:rsid w:val="00DD5B3D"/>
    <w:rsid w:val="00DE123C"/>
    <w:rsid w:val="00DE5E3C"/>
    <w:rsid w:val="00DF07A1"/>
    <w:rsid w:val="00DF0DB0"/>
    <w:rsid w:val="00DF476E"/>
    <w:rsid w:val="00DF5271"/>
    <w:rsid w:val="00DF5B53"/>
    <w:rsid w:val="00DF71DC"/>
    <w:rsid w:val="00E00086"/>
    <w:rsid w:val="00E02C97"/>
    <w:rsid w:val="00E03860"/>
    <w:rsid w:val="00E04DD3"/>
    <w:rsid w:val="00E06BAD"/>
    <w:rsid w:val="00E12F6D"/>
    <w:rsid w:val="00E135BE"/>
    <w:rsid w:val="00E23523"/>
    <w:rsid w:val="00E30D73"/>
    <w:rsid w:val="00E4188E"/>
    <w:rsid w:val="00E42DD5"/>
    <w:rsid w:val="00E43948"/>
    <w:rsid w:val="00E46B3A"/>
    <w:rsid w:val="00E50977"/>
    <w:rsid w:val="00E52C2B"/>
    <w:rsid w:val="00E5386D"/>
    <w:rsid w:val="00E53D38"/>
    <w:rsid w:val="00E56DE2"/>
    <w:rsid w:val="00E608FA"/>
    <w:rsid w:val="00E74D2E"/>
    <w:rsid w:val="00E76093"/>
    <w:rsid w:val="00E834FA"/>
    <w:rsid w:val="00E86306"/>
    <w:rsid w:val="00E86642"/>
    <w:rsid w:val="00E873B7"/>
    <w:rsid w:val="00E92D1F"/>
    <w:rsid w:val="00EA1190"/>
    <w:rsid w:val="00EA1619"/>
    <w:rsid w:val="00EA2046"/>
    <w:rsid w:val="00EA280C"/>
    <w:rsid w:val="00EA66E7"/>
    <w:rsid w:val="00EB0554"/>
    <w:rsid w:val="00EB15F5"/>
    <w:rsid w:val="00EB4C5D"/>
    <w:rsid w:val="00EC1733"/>
    <w:rsid w:val="00EC2401"/>
    <w:rsid w:val="00EC69E7"/>
    <w:rsid w:val="00ED243B"/>
    <w:rsid w:val="00ED3B45"/>
    <w:rsid w:val="00ED4501"/>
    <w:rsid w:val="00EE00B3"/>
    <w:rsid w:val="00EE4675"/>
    <w:rsid w:val="00EF05BB"/>
    <w:rsid w:val="00EF44D2"/>
    <w:rsid w:val="00EF7387"/>
    <w:rsid w:val="00EF7B98"/>
    <w:rsid w:val="00F01135"/>
    <w:rsid w:val="00F020FE"/>
    <w:rsid w:val="00F02293"/>
    <w:rsid w:val="00F03F81"/>
    <w:rsid w:val="00F04490"/>
    <w:rsid w:val="00F054A0"/>
    <w:rsid w:val="00F06C55"/>
    <w:rsid w:val="00F072A8"/>
    <w:rsid w:val="00F137D0"/>
    <w:rsid w:val="00F13903"/>
    <w:rsid w:val="00F13F31"/>
    <w:rsid w:val="00F1536E"/>
    <w:rsid w:val="00F24F27"/>
    <w:rsid w:val="00F263DE"/>
    <w:rsid w:val="00F26C21"/>
    <w:rsid w:val="00F319E2"/>
    <w:rsid w:val="00F337C7"/>
    <w:rsid w:val="00F402B2"/>
    <w:rsid w:val="00F4107A"/>
    <w:rsid w:val="00F41C35"/>
    <w:rsid w:val="00F426CA"/>
    <w:rsid w:val="00F43A1D"/>
    <w:rsid w:val="00F43A4B"/>
    <w:rsid w:val="00F47252"/>
    <w:rsid w:val="00F47A70"/>
    <w:rsid w:val="00F50985"/>
    <w:rsid w:val="00F50E9C"/>
    <w:rsid w:val="00F57248"/>
    <w:rsid w:val="00F60E48"/>
    <w:rsid w:val="00F66CAB"/>
    <w:rsid w:val="00F7051A"/>
    <w:rsid w:val="00F810F6"/>
    <w:rsid w:val="00F822F4"/>
    <w:rsid w:val="00F84151"/>
    <w:rsid w:val="00F85AA1"/>
    <w:rsid w:val="00F901E1"/>
    <w:rsid w:val="00F92B91"/>
    <w:rsid w:val="00F95A4C"/>
    <w:rsid w:val="00F95ECE"/>
    <w:rsid w:val="00F962FC"/>
    <w:rsid w:val="00F963F4"/>
    <w:rsid w:val="00F97B15"/>
    <w:rsid w:val="00FA708F"/>
    <w:rsid w:val="00FB06A1"/>
    <w:rsid w:val="00FC6BE0"/>
    <w:rsid w:val="00FC7EDD"/>
    <w:rsid w:val="00FD16E7"/>
    <w:rsid w:val="00FD47F6"/>
    <w:rsid w:val="00FE20B5"/>
    <w:rsid w:val="00FE2E83"/>
    <w:rsid w:val="00FE37EE"/>
    <w:rsid w:val="00FE38AF"/>
    <w:rsid w:val="00FE5423"/>
    <w:rsid w:val="00FE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306BC"/>
  <w15:docId w15:val="{BFBBED78-B2E0-4602-BB5F-6D446E52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39"/>
    <w:pPr>
      <w:tabs>
        <w:tab w:val="left" w:pos="357"/>
      </w:tabs>
      <w:spacing w:after="120" w:line="276" w:lineRule="auto"/>
      <w:jc w:val="both"/>
    </w:pPr>
    <w:rPr>
      <w:rFonts w:ascii="Calibri" w:hAnsi="Calibri"/>
      <w:sz w:val="22"/>
    </w:rPr>
  </w:style>
  <w:style w:type="paragraph" w:styleId="Heading1">
    <w:name w:val="heading 1"/>
    <w:basedOn w:val="Normal"/>
    <w:next w:val="BodyText"/>
    <w:link w:val="Heading1Char"/>
    <w:qFormat/>
    <w:rsid w:val="00971F39"/>
    <w:pPr>
      <w:tabs>
        <w:tab w:val="clear" w:pos="357"/>
        <w:tab w:val="left" w:pos="567"/>
      </w:tabs>
      <w:spacing w:before="240"/>
      <w:outlineLvl w:val="0"/>
    </w:pPr>
    <w:rPr>
      <w:rFonts w:cs="Arial"/>
      <w:sz w:val="26"/>
      <w:szCs w:val="26"/>
    </w:rPr>
  </w:style>
  <w:style w:type="paragraph" w:styleId="Heading2">
    <w:name w:val="heading 2"/>
    <w:basedOn w:val="Normal"/>
    <w:next w:val="BodyText"/>
    <w:qFormat/>
    <w:rsid w:val="00971F39"/>
    <w:pPr>
      <w:tabs>
        <w:tab w:val="clear" w:pos="357"/>
        <w:tab w:val="left" w:pos="567"/>
      </w:tabs>
      <w:spacing w:before="200"/>
      <w:outlineLvl w:val="1"/>
    </w:pPr>
    <w:rPr>
      <w:rFonts w:cs="Arial"/>
      <w:i/>
      <w:szCs w:val="22"/>
    </w:rPr>
  </w:style>
  <w:style w:type="paragraph" w:styleId="Heading3">
    <w:name w:val="heading 3"/>
    <w:next w:val="BodyText"/>
    <w:qFormat/>
    <w:pPr>
      <w:keepNext/>
      <w:spacing w:line="280" w:lineRule="atLeast"/>
      <w:outlineLvl w:val="2"/>
    </w:pPr>
    <w:rPr>
      <w:rFonts w:ascii="Arial" w:hAnsi="Arial"/>
      <w:b/>
      <w:noProof/>
      <w:color w:val="16288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aliases w:val="Footer1"/>
    <w:basedOn w:val="Normal"/>
    <w:link w:val="FooterChar"/>
    <w:uiPriority w:val="99"/>
  </w:style>
  <w:style w:type="character" w:styleId="PageNumber">
    <w:name w:val="page number"/>
    <w:basedOn w:val="DefaultParagraphFont"/>
  </w:style>
  <w:style w:type="paragraph" w:styleId="TOC2">
    <w:name w:val="toc 2"/>
    <w:next w:val="Normal"/>
    <w:autoRedefine/>
    <w:semiHidden/>
    <w:pPr>
      <w:tabs>
        <w:tab w:val="left" w:pos="1134"/>
        <w:tab w:val="left" w:pos="2268"/>
        <w:tab w:val="left" w:pos="2552"/>
        <w:tab w:val="left" w:pos="3119"/>
        <w:tab w:val="right" w:leader="dot" w:pos="8448"/>
      </w:tabs>
      <w:spacing w:before="60" w:after="60"/>
      <w:ind w:left="3119" w:right="1134" w:hanging="1418"/>
    </w:pPr>
    <w:rPr>
      <w:rFonts w:ascii="Arial" w:hAnsi="Arial"/>
      <w:noProof/>
    </w:rPr>
  </w:style>
  <w:style w:type="paragraph" w:styleId="TOC3">
    <w:name w:val="toc 3"/>
    <w:basedOn w:val="BodyText"/>
    <w:next w:val="Normal"/>
    <w:autoRedefine/>
    <w:semiHidden/>
    <w:pPr>
      <w:tabs>
        <w:tab w:val="left" w:pos="851"/>
        <w:tab w:val="left" w:pos="1134"/>
        <w:tab w:val="left" w:pos="2268"/>
        <w:tab w:val="right" w:leader="dot" w:pos="8448"/>
      </w:tabs>
      <w:spacing w:after="0"/>
      <w:ind w:left="2268" w:right="1134"/>
    </w:pPr>
    <w:rPr>
      <w:noProof/>
    </w:rPr>
  </w:style>
  <w:style w:type="paragraph" w:styleId="BodyText">
    <w:name w:val="Body Text"/>
    <w:basedOn w:val="Normal"/>
    <w:semiHidden/>
    <w:pPr>
      <w:spacing w:after="140"/>
    </w:pPr>
  </w:style>
  <w:style w:type="paragraph" w:styleId="TOC4">
    <w:name w:val="toc 4"/>
    <w:basedOn w:val="Normal"/>
    <w:next w:val="Normal"/>
    <w:autoRedefine/>
    <w:semiHidden/>
    <w:pPr>
      <w:tabs>
        <w:tab w:val="right" w:leader="dot" w:pos="8448"/>
        <w:tab w:val="right" w:pos="8505"/>
      </w:tabs>
      <w:ind w:left="2835" w:right="1134"/>
    </w:pPr>
  </w:style>
  <w:style w:type="paragraph" w:customStyle="1" w:styleId="Address">
    <w:name w:val="Address"/>
    <w:pPr>
      <w:spacing w:line="180" w:lineRule="atLeast"/>
    </w:pPr>
    <w:rPr>
      <w:rFonts w:ascii="Arial" w:hAnsi="Arial"/>
      <w:noProof/>
      <w:color w:val="16288E"/>
      <w:sz w:val="16"/>
    </w:rPr>
  </w:style>
  <w:style w:type="paragraph" w:styleId="EndnoteText">
    <w:name w:val="endnote text"/>
    <w:basedOn w:val="Normal"/>
    <w:semiHidden/>
    <w:pPr>
      <w:spacing w:after="140"/>
    </w:pPr>
  </w:style>
  <w:style w:type="paragraph" w:styleId="EnvelopeAddress">
    <w:name w:val="envelope address"/>
    <w:basedOn w:val="Normal"/>
    <w:semiHidden/>
    <w:pPr>
      <w:framePr w:w="7920" w:h="1980" w:hRule="exact" w:hSpace="180" w:wrap="auto" w:hAnchor="page" w:xAlign="center" w:yAlign="bottom"/>
      <w:ind w:left="2880"/>
    </w:pPr>
  </w:style>
  <w:style w:type="character" w:styleId="FollowedHyperlink">
    <w:name w:val="FollowedHyperlink"/>
    <w:semiHidden/>
    <w:rPr>
      <w:color w:val="808080"/>
      <w:u w:val="none"/>
    </w:rPr>
  </w:style>
  <w:style w:type="paragraph" w:styleId="FootnoteText">
    <w:name w:val="footnote text"/>
    <w:aliases w:val="Ftnote Txt 11ptG"/>
    <w:link w:val="FootnoteTextChar"/>
    <w:uiPriority w:val="99"/>
    <w:pPr>
      <w:spacing w:after="100" w:line="200" w:lineRule="atLeast"/>
    </w:pPr>
    <w:rPr>
      <w:rFonts w:ascii="Arial" w:hAnsi="Arial"/>
      <w:noProof/>
      <w:sz w:val="16"/>
    </w:rPr>
  </w:style>
  <w:style w:type="character" w:styleId="Hyperlink">
    <w:name w:val="Hyperlink"/>
    <w:rPr>
      <w:color w:val="16288E"/>
      <w:u w:val="none"/>
    </w:rPr>
  </w:style>
  <w:style w:type="paragraph" w:customStyle="1" w:styleId="Introduction">
    <w:name w:val="Introduction"/>
    <w:basedOn w:val="BodyText"/>
    <w:next w:val="BodyText"/>
    <w:rPr>
      <w:b/>
      <w:color w:val="16288E"/>
    </w:rPr>
  </w:style>
  <w:style w:type="paragraph" w:styleId="ListBullet">
    <w:name w:val="List Bullet"/>
    <w:basedOn w:val="Normal"/>
    <w:semiHidden/>
    <w:pPr>
      <w:numPr>
        <w:numId w:val="1"/>
      </w:numPr>
      <w:spacing w:after="140"/>
    </w:pPr>
  </w:style>
  <w:style w:type="paragraph" w:styleId="ListNumber">
    <w:name w:val="List Number"/>
    <w:basedOn w:val="Normal"/>
    <w:semiHidden/>
    <w:pPr>
      <w:numPr>
        <w:numId w:val="2"/>
      </w:numPr>
      <w:spacing w:after="140"/>
    </w:pPr>
  </w:style>
  <w:style w:type="paragraph" w:styleId="Title">
    <w:name w:val="Title"/>
    <w:basedOn w:val="Heading1"/>
    <w:link w:val="TitleChar"/>
    <w:qFormat/>
    <w:rsid w:val="007866B9"/>
    <w:rPr>
      <w:sz w:val="40"/>
      <w:szCs w:val="40"/>
    </w:rPr>
  </w:style>
  <w:style w:type="paragraph" w:styleId="BalloonText">
    <w:name w:val="Balloon Text"/>
    <w:basedOn w:val="Normal"/>
    <w:link w:val="BalloonTextChar"/>
    <w:uiPriority w:val="99"/>
    <w:semiHidden/>
    <w:unhideWhenUsed/>
    <w:rsid w:val="00704E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2B"/>
    <w:rPr>
      <w:rFonts w:ascii="Tahoma" w:hAnsi="Tahoma" w:cs="Tahoma"/>
      <w:sz w:val="16"/>
      <w:szCs w:val="16"/>
    </w:rPr>
  </w:style>
  <w:style w:type="character" w:customStyle="1" w:styleId="st">
    <w:name w:val="st"/>
    <w:rsid w:val="00E12F6D"/>
  </w:style>
  <w:style w:type="character" w:customStyle="1" w:styleId="FooterChar">
    <w:name w:val="Footer Char"/>
    <w:aliases w:val="Footer1 Char"/>
    <w:link w:val="Footer"/>
    <w:uiPriority w:val="99"/>
    <w:rsid w:val="003C57C1"/>
    <w:rPr>
      <w:rFonts w:ascii="Arial" w:hAnsi="Arial"/>
    </w:rPr>
  </w:style>
  <w:style w:type="character" w:customStyle="1" w:styleId="CorpsdetexteCar">
    <w:name w:val="Corps de texte Car"/>
    <w:link w:val="Corpsdetexte1"/>
    <w:qFormat/>
    <w:rsid w:val="007A3945"/>
    <w:rPr>
      <w:rFonts w:ascii="Arial" w:hAnsi="Arial"/>
    </w:rPr>
  </w:style>
  <w:style w:type="paragraph" w:customStyle="1" w:styleId="Corpsdetexte1">
    <w:name w:val="Corps de texte1"/>
    <w:basedOn w:val="Normal"/>
    <w:link w:val="CorpsdetexteCar"/>
    <w:rsid w:val="007A3945"/>
    <w:pPr>
      <w:tabs>
        <w:tab w:val="clear" w:pos="357"/>
        <w:tab w:val="left" w:pos="567"/>
      </w:tabs>
      <w:spacing w:after="140"/>
    </w:pPr>
  </w:style>
  <w:style w:type="paragraph" w:styleId="ListParagraph">
    <w:name w:val="List Paragraph"/>
    <w:aliases w:val="_Bullet,Heading 2_sj,List Paragraph1,Listenabsatz1,Normal bullet 2,Bullet list,Dot pt,Parágrafo da Lista,Liststycke,No Spacing1,List Paragraph Char Char Char,Indicator Text,Numbered Para 1,Bullet 1,Bullet Points,MAIN CONTENT,Listeavsnitt"/>
    <w:basedOn w:val="Normal"/>
    <w:link w:val="ListParagraphChar"/>
    <w:uiPriority w:val="72"/>
    <w:qFormat/>
    <w:rsid w:val="007A3945"/>
    <w:pPr>
      <w:numPr>
        <w:numId w:val="3"/>
      </w:numPr>
      <w:tabs>
        <w:tab w:val="clear" w:pos="357"/>
        <w:tab w:val="left" w:pos="567"/>
      </w:tabs>
      <w:spacing w:before="120"/>
    </w:pPr>
    <w:rPr>
      <w:rFonts w:eastAsia="Calibri" w:cs="Arial"/>
      <w:szCs w:val="22"/>
      <w:lang w:eastAsia="en-US"/>
    </w:rPr>
  </w:style>
  <w:style w:type="character" w:customStyle="1" w:styleId="ListParagraphChar">
    <w:name w:val="List Paragraph Char"/>
    <w:aliases w:val="_Bullet Char,Heading 2_sj Char,List Paragraph1 Char,Listenabsatz1 Char,Normal bullet 2 Char,Bullet list Char,Dot pt Char,Parágrafo da Lista Char,Liststycke Char,No Spacing1 Char,List Paragraph Char Char Char Char,Indicator Text Char"/>
    <w:link w:val="ListParagraph"/>
    <w:uiPriority w:val="72"/>
    <w:qFormat/>
    <w:rsid w:val="007A3945"/>
    <w:rPr>
      <w:rFonts w:ascii="Calibri" w:eastAsia="Calibri" w:hAnsi="Calibri" w:cs="Arial"/>
      <w:sz w:val="22"/>
      <w:szCs w:val="22"/>
      <w:lang w:eastAsia="en-US"/>
    </w:rPr>
  </w:style>
  <w:style w:type="character" w:styleId="CommentReference">
    <w:name w:val="annotation reference"/>
    <w:basedOn w:val="DefaultParagraphFont"/>
    <w:uiPriority w:val="99"/>
    <w:semiHidden/>
    <w:unhideWhenUsed/>
    <w:rsid w:val="00346763"/>
    <w:rPr>
      <w:sz w:val="16"/>
      <w:szCs w:val="16"/>
    </w:rPr>
  </w:style>
  <w:style w:type="paragraph" w:styleId="CommentText">
    <w:name w:val="annotation text"/>
    <w:basedOn w:val="Normal"/>
    <w:link w:val="CommentTextChar"/>
    <w:uiPriority w:val="99"/>
    <w:unhideWhenUsed/>
    <w:rsid w:val="00346763"/>
    <w:pPr>
      <w:spacing w:line="240" w:lineRule="auto"/>
    </w:pPr>
    <w:rPr>
      <w:sz w:val="20"/>
    </w:rPr>
  </w:style>
  <w:style w:type="character" w:customStyle="1" w:styleId="CommentTextChar">
    <w:name w:val="Comment Text Char"/>
    <w:basedOn w:val="DefaultParagraphFont"/>
    <w:link w:val="CommentText"/>
    <w:uiPriority w:val="99"/>
    <w:rsid w:val="00346763"/>
    <w:rPr>
      <w:rFonts w:ascii="Calibri" w:hAnsi="Calibri"/>
    </w:rPr>
  </w:style>
  <w:style w:type="paragraph" w:styleId="CommentSubject">
    <w:name w:val="annotation subject"/>
    <w:basedOn w:val="CommentText"/>
    <w:next w:val="CommentText"/>
    <w:link w:val="CommentSubjectChar"/>
    <w:uiPriority w:val="99"/>
    <w:semiHidden/>
    <w:unhideWhenUsed/>
    <w:rsid w:val="00346763"/>
    <w:rPr>
      <w:b/>
      <w:bCs/>
    </w:rPr>
  </w:style>
  <w:style w:type="character" w:customStyle="1" w:styleId="CommentSubjectChar">
    <w:name w:val="Comment Subject Char"/>
    <w:basedOn w:val="CommentTextChar"/>
    <w:link w:val="CommentSubject"/>
    <w:uiPriority w:val="99"/>
    <w:semiHidden/>
    <w:rsid w:val="00346763"/>
    <w:rPr>
      <w:rFonts w:ascii="Calibri" w:hAnsi="Calibri"/>
      <w:b/>
      <w:bCs/>
    </w:rPr>
  </w:style>
  <w:style w:type="character" w:customStyle="1" w:styleId="TitleChar">
    <w:name w:val="Title Char"/>
    <w:basedOn w:val="DefaultParagraphFont"/>
    <w:link w:val="Title"/>
    <w:rsid w:val="007A0D31"/>
    <w:rPr>
      <w:rFonts w:ascii="Calibri" w:hAnsi="Calibri" w:cs="Arial"/>
      <w:sz w:val="40"/>
      <w:szCs w:val="40"/>
    </w:rPr>
  </w:style>
  <w:style w:type="character" w:styleId="FootnoteReference">
    <w:name w:val="footnote reference"/>
    <w:aliases w:val="stylish"/>
    <w:basedOn w:val="DefaultParagraphFont"/>
    <w:unhideWhenUsed/>
    <w:rsid w:val="006C11FF"/>
    <w:rPr>
      <w:vertAlign w:val="superscript"/>
    </w:rPr>
  </w:style>
  <w:style w:type="character" w:customStyle="1" w:styleId="Heading1Char">
    <w:name w:val="Heading 1 Char"/>
    <w:basedOn w:val="DefaultParagraphFont"/>
    <w:link w:val="Heading1"/>
    <w:rsid w:val="0003395B"/>
    <w:rPr>
      <w:rFonts w:ascii="Calibri" w:hAnsi="Calibri" w:cs="Arial"/>
      <w:sz w:val="26"/>
      <w:szCs w:val="26"/>
    </w:rPr>
  </w:style>
  <w:style w:type="paragraph" w:styleId="Revision">
    <w:name w:val="Revision"/>
    <w:hidden/>
    <w:uiPriority w:val="99"/>
    <w:semiHidden/>
    <w:rsid w:val="00681ADE"/>
    <w:rPr>
      <w:rFonts w:ascii="Calibri" w:hAnsi="Calibri"/>
      <w:sz w:val="22"/>
    </w:rPr>
  </w:style>
  <w:style w:type="table" w:styleId="TableGrid">
    <w:name w:val="Table Grid"/>
    <w:basedOn w:val="TableNormal"/>
    <w:uiPriority w:val="59"/>
    <w:rsid w:val="005140E3"/>
    <w:rPr>
      <w:rFonts w:asciiTheme="minorHAnsi" w:eastAsiaTheme="minorHAnsi" w:hAnsiTheme="minorHAnsi" w:cstheme="minorBidi"/>
      <w:sz w:val="22"/>
      <w:szCs w:val="22"/>
      <w:lang w:val="pt-P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tnote Txt 11ptG Char"/>
    <w:basedOn w:val="DefaultParagraphFont"/>
    <w:link w:val="FootnoteText"/>
    <w:uiPriority w:val="99"/>
    <w:rsid w:val="00393816"/>
    <w:rPr>
      <w:rFonts w:ascii="Arial" w:hAnsi="Arial"/>
      <w:noProof/>
      <w:sz w:val="16"/>
    </w:rPr>
  </w:style>
  <w:style w:type="character" w:customStyle="1" w:styleId="HeaderChar">
    <w:name w:val="Header Char"/>
    <w:basedOn w:val="DefaultParagraphFont"/>
    <w:link w:val="Header"/>
    <w:uiPriority w:val="99"/>
    <w:rsid w:val="001D4F5A"/>
    <w:rPr>
      <w:rFonts w:ascii="Calibri" w:hAnsi="Calibri"/>
      <w:sz w:val="22"/>
    </w:rPr>
  </w:style>
  <w:style w:type="character" w:styleId="UnresolvedMention">
    <w:name w:val="Unresolved Mention"/>
    <w:basedOn w:val="DefaultParagraphFont"/>
    <w:uiPriority w:val="99"/>
    <w:semiHidden/>
    <w:unhideWhenUsed/>
    <w:rsid w:val="007150FE"/>
    <w:rPr>
      <w:color w:val="605E5C"/>
      <w:shd w:val="clear" w:color="auto" w:fill="E1DFDD"/>
    </w:rPr>
  </w:style>
  <w:style w:type="paragraph" w:customStyle="1" w:styleId="Docheader">
    <w:name w:val="Doc header"/>
    <w:basedOn w:val="Normal"/>
    <w:rsid w:val="00AC7E52"/>
    <w:pPr>
      <w:tabs>
        <w:tab w:val="clear" w:pos="357"/>
        <w:tab w:val="left" w:pos="567"/>
      </w:tabs>
      <w:spacing w:after="0" w:line="280" w:lineRule="exact"/>
      <w:jc w:val="left"/>
    </w:pPr>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3614">
      <w:bodyDiv w:val="1"/>
      <w:marLeft w:val="0"/>
      <w:marRight w:val="0"/>
      <w:marTop w:val="0"/>
      <w:marBottom w:val="0"/>
      <w:divBdr>
        <w:top w:val="none" w:sz="0" w:space="0" w:color="auto"/>
        <w:left w:val="none" w:sz="0" w:space="0" w:color="auto"/>
        <w:bottom w:val="none" w:sz="0" w:space="0" w:color="auto"/>
        <w:right w:val="none" w:sz="0" w:space="0" w:color="auto"/>
      </w:divBdr>
    </w:div>
    <w:div w:id="654840129">
      <w:bodyDiv w:val="1"/>
      <w:marLeft w:val="0"/>
      <w:marRight w:val="0"/>
      <w:marTop w:val="0"/>
      <w:marBottom w:val="0"/>
      <w:divBdr>
        <w:top w:val="none" w:sz="0" w:space="0" w:color="auto"/>
        <w:left w:val="none" w:sz="0" w:space="0" w:color="auto"/>
        <w:bottom w:val="none" w:sz="0" w:space="0" w:color="auto"/>
        <w:right w:val="none" w:sz="0" w:space="0" w:color="auto"/>
      </w:divBdr>
    </w:div>
    <w:div w:id="988092866">
      <w:bodyDiv w:val="1"/>
      <w:marLeft w:val="0"/>
      <w:marRight w:val="0"/>
      <w:marTop w:val="0"/>
      <w:marBottom w:val="0"/>
      <w:divBdr>
        <w:top w:val="none" w:sz="0" w:space="0" w:color="auto"/>
        <w:left w:val="none" w:sz="0" w:space="0" w:color="auto"/>
        <w:bottom w:val="none" w:sz="0" w:space="0" w:color="auto"/>
        <w:right w:val="none" w:sz="0" w:space="0" w:color="auto"/>
      </w:divBdr>
    </w:div>
    <w:div w:id="1017003975">
      <w:bodyDiv w:val="1"/>
      <w:marLeft w:val="0"/>
      <w:marRight w:val="0"/>
      <w:marTop w:val="0"/>
      <w:marBottom w:val="0"/>
      <w:divBdr>
        <w:top w:val="none" w:sz="0" w:space="0" w:color="auto"/>
        <w:left w:val="none" w:sz="0" w:space="0" w:color="auto"/>
        <w:bottom w:val="none" w:sz="0" w:space="0" w:color="auto"/>
        <w:right w:val="none" w:sz="0" w:space="0" w:color="auto"/>
      </w:divBdr>
    </w:div>
    <w:div w:id="1064067919">
      <w:bodyDiv w:val="1"/>
      <w:marLeft w:val="0"/>
      <w:marRight w:val="0"/>
      <w:marTop w:val="0"/>
      <w:marBottom w:val="0"/>
      <w:divBdr>
        <w:top w:val="none" w:sz="0" w:space="0" w:color="auto"/>
        <w:left w:val="none" w:sz="0" w:space="0" w:color="auto"/>
        <w:bottom w:val="none" w:sz="0" w:space="0" w:color="auto"/>
        <w:right w:val="none" w:sz="0" w:space="0" w:color="auto"/>
      </w:divBdr>
    </w:div>
    <w:div w:id="1216314294">
      <w:bodyDiv w:val="1"/>
      <w:marLeft w:val="0"/>
      <w:marRight w:val="0"/>
      <w:marTop w:val="0"/>
      <w:marBottom w:val="0"/>
      <w:divBdr>
        <w:top w:val="none" w:sz="0" w:space="0" w:color="auto"/>
        <w:left w:val="none" w:sz="0" w:space="0" w:color="auto"/>
        <w:bottom w:val="none" w:sz="0" w:space="0" w:color="auto"/>
        <w:right w:val="none" w:sz="0" w:space="0" w:color="auto"/>
      </w:divBdr>
    </w:div>
    <w:div w:id="1233585396">
      <w:bodyDiv w:val="1"/>
      <w:marLeft w:val="0"/>
      <w:marRight w:val="0"/>
      <w:marTop w:val="0"/>
      <w:marBottom w:val="0"/>
      <w:divBdr>
        <w:top w:val="none" w:sz="0" w:space="0" w:color="auto"/>
        <w:left w:val="none" w:sz="0" w:space="0" w:color="auto"/>
        <w:bottom w:val="none" w:sz="0" w:space="0" w:color="auto"/>
        <w:right w:val="none" w:sz="0" w:space="0" w:color="auto"/>
      </w:divBdr>
    </w:div>
    <w:div w:id="1335381001">
      <w:bodyDiv w:val="1"/>
      <w:marLeft w:val="0"/>
      <w:marRight w:val="0"/>
      <w:marTop w:val="0"/>
      <w:marBottom w:val="0"/>
      <w:divBdr>
        <w:top w:val="none" w:sz="0" w:space="0" w:color="auto"/>
        <w:left w:val="none" w:sz="0" w:space="0" w:color="auto"/>
        <w:bottom w:val="none" w:sz="0" w:space="0" w:color="auto"/>
        <w:right w:val="none" w:sz="0" w:space="0" w:color="auto"/>
      </w:divBdr>
    </w:div>
    <w:div w:id="1534148041">
      <w:bodyDiv w:val="1"/>
      <w:marLeft w:val="0"/>
      <w:marRight w:val="0"/>
      <w:marTop w:val="0"/>
      <w:marBottom w:val="0"/>
      <w:divBdr>
        <w:top w:val="none" w:sz="0" w:space="0" w:color="auto"/>
        <w:left w:val="none" w:sz="0" w:space="0" w:color="auto"/>
        <w:bottom w:val="none" w:sz="0" w:space="0" w:color="auto"/>
        <w:right w:val="none" w:sz="0" w:space="0" w:color="auto"/>
      </w:divBdr>
    </w:div>
    <w:div w:id="1707632332">
      <w:bodyDiv w:val="1"/>
      <w:marLeft w:val="0"/>
      <w:marRight w:val="0"/>
      <w:marTop w:val="0"/>
      <w:marBottom w:val="0"/>
      <w:divBdr>
        <w:top w:val="none" w:sz="0" w:space="0" w:color="auto"/>
        <w:left w:val="none" w:sz="0" w:space="0" w:color="auto"/>
        <w:bottom w:val="none" w:sz="0" w:space="0" w:color="auto"/>
        <w:right w:val="none" w:sz="0" w:space="0" w:color="auto"/>
      </w:divBdr>
    </w:div>
    <w:div w:id="1802647049">
      <w:bodyDiv w:val="1"/>
      <w:marLeft w:val="0"/>
      <w:marRight w:val="0"/>
      <w:marTop w:val="0"/>
      <w:marBottom w:val="0"/>
      <w:divBdr>
        <w:top w:val="none" w:sz="0" w:space="0" w:color="auto"/>
        <w:left w:val="none" w:sz="0" w:space="0" w:color="auto"/>
        <w:bottom w:val="none" w:sz="0" w:space="0" w:color="auto"/>
        <w:right w:val="none" w:sz="0" w:space="0" w:color="auto"/>
      </w:divBdr>
    </w:div>
    <w:div w:id="1844586522">
      <w:bodyDiv w:val="1"/>
      <w:marLeft w:val="0"/>
      <w:marRight w:val="0"/>
      <w:marTop w:val="0"/>
      <w:marBottom w:val="0"/>
      <w:divBdr>
        <w:top w:val="none" w:sz="0" w:space="0" w:color="auto"/>
        <w:left w:val="none" w:sz="0" w:space="0" w:color="auto"/>
        <w:bottom w:val="none" w:sz="0" w:space="0" w:color="auto"/>
        <w:right w:val="none" w:sz="0" w:space="0" w:color="auto"/>
      </w:divBdr>
    </w:div>
    <w:div w:id="1852835430">
      <w:bodyDiv w:val="1"/>
      <w:marLeft w:val="0"/>
      <w:marRight w:val="0"/>
      <w:marTop w:val="0"/>
      <w:marBottom w:val="0"/>
      <w:divBdr>
        <w:top w:val="none" w:sz="0" w:space="0" w:color="auto"/>
        <w:left w:val="none" w:sz="0" w:space="0" w:color="auto"/>
        <w:bottom w:val="none" w:sz="0" w:space="0" w:color="auto"/>
        <w:right w:val="none" w:sz="0" w:space="0" w:color="auto"/>
      </w:divBdr>
    </w:div>
    <w:div w:id="196091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onnagreement.org/site/assets/files/1080/basap_19-25.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onnagreement.org/site/assets/files/1080/basap_19-25.doc" TargetMode="External"/><Relationship Id="rId14" Type="http://schemas.openxmlformats.org/officeDocument/2006/relationships/hyperlink" Target="http://www.imo.org/en/About/Conventions/StatusOfCon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3EBB7-5F8D-4C0B-853A-91C8F010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19</Pages>
  <Words>5708</Words>
  <Characters>33192</Characters>
  <Application>Microsoft Office Word</Application>
  <DocSecurity>0</DocSecurity>
  <Lines>1327</Lines>
  <Paragraphs>572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Middleton</dc:creator>
  <cp:lastModifiedBy>LauradelaTorre</cp:lastModifiedBy>
  <cp:revision>16</cp:revision>
  <cp:lastPrinted>2019-07-08T14:26:00Z</cp:lastPrinted>
  <dcterms:created xsi:type="dcterms:W3CDTF">2025-07-18T07:01:00Z</dcterms:created>
  <dcterms:modified xsi:type="dcterms:W3CDTF">2025-11-25T13:48:00Z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baafe28980d84308ab89ac73430a88887f7c3f959e27d57aa152c96ba33b3543</vt:lpwstr>
  </property>
</Properties>
</file>